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2" w:firstLineChars="200"/>
        <w:rPr>
          <w:rFonts w:ascii="Times New Roman" w:hAnsi="Times New Roman" w:eastAsia="宋体" w:cs="Times New Roman"/>
          <w:b/>
          <w:color w:val="auto"/>
          <w:sz w:val="36"/>
        </w:rPr>
      </w:pPr>
    </w:p>
    <w:p>
      <w:pPr>
        <w:spacing w:line="640" w:lineRule="exact"/>
        <w:jc w:val="center"/>
        <w:rPr>
          <w:rFonts w:ascii="Times New Roman" w:hAnsi="Times New Roman" w:eastAsia="方正小标宋简体" w:cs="Times New Roman"/>
          <w:b/>
          <w:color w:val="auto"/>
          <w:sz w:val="44"/>
          <w:szCs w:val="44"/>
        </w:rPr>
      </w:pPr>
      <w:r>
        <w:rPr>
          <w:rFonts w:hint="eastAsia" w:ascii="Times New Roman" w:hAnsi="Times New Roman" w:eastAsia="方正小标宋简体" w:cs="Times New Roman"/>
          <w:b/>
          <w:color w:val="auto"/>
          <w:sz w:val="44"/>
          <w:szCs w:val="44"/>
        </w:rPr>
        <w:t>亳州市污水处理厂三期工程特许经营项目</w:t>
      </w:r>
      <w:bookmarkStart w:id="0" w:name="_Hlk209391098"/>
      <w:r>
        <w:rPr>
          <w:rFonts w:hint="eastAsia" w:ascii="Times New Roman" w:hAnsi="Times New Roman" w:eastAsia="方正小标宋简体" w:cs="Times New Roman"/>
          <w:b/>
          <w:color w:val="auto"/>
          <w:sz w:val="44"/>
          <w:szCs w:val="44"/>
        </w:rPr>
        <w:t>投资建设方案征集</w:t>
      </w:r>
      <w:bookmarkEnd w:id="0"/>
      <w:r>
        <w:rPr>
          <w:rFonts w:hint="eastAsia" w:ascii="Times New Roman" w:hAnsi="Times New Roman" w:eastAsia="方正小标宋简体" w:cs="Times New Roman"/>
          <w:b/>
          <w:color w:val="auto"/>
          <w:sz w:val="44"/>
          <w:szCs w:val="44"/>
        </w:rPr>
        <w:t>相关要求</w:t>
      </w:r>
    </w:p>
    <w:p>
      <w:pPr>
        <w:ind w:firstLine="640" w:firstLineChars="200"/>
        <w:rPr>
          <w:rFonts w:ascii="Times New Roman" w:hAnsi="Times New Roman" w:eastAsia="仿宋_GB2312" w:cs="Times New Roman"/>
          <w:bCs/>
          <w:color w:val="auto"/>
          <w:sz w:val="32"/>
          <w:szCs w:val="32"/>
        </w:rPr>
      </w:pPr>
    </w:p>
    <w:p>
      <w:pPr>
        <w:spacing w:before="156" w:beforeLines="50" w:after="62" w:afterLines="20" w:line="560" w:lineRule="exact"/>
        <w:ind w:firstLine="562" w:firstLineChars="200"/>
        <w:rPr>
          <w:rFonts w:hint="eastAsia" w:ascii="仿宋黑体" w:hAnsi="Times New Roman" w:eastAsia="仿宋黑体" w:cs="Times New Roman"/>
          <w:b/>
          <w:bCs/>
          <w:color w:val="auto"/>
          <w:sz w:val="28"/>
          <w:szCs w:val="28"/>
        </w:rPr>
      </w:pPr>
      <w:r>
        <w:rPr>
          <w:rFonts w:hint="eastAsia" w:ascii="仿宋黑体" w:hAnsi="Times New Roman" w:eastAsia="仿宋黑体" w:cs="Times New Roman"/>
          <w:b/>
          <w:bCs/>
          <w:color w:val="auto"/>
          <w:sz w:val="28"/>
          <w:szCs w:val="28"/>
        </w:rPr>
        <w:t>一、项目背景</w:t>
      </w:r>
    </w:p>
    <w:p>
      <w:pPr>
        <w:spacing w:line="560" w:lineRule="exact"/>
        <w:ind w:firstLine="560" w:firstLineChars="200"/>
        <w:rPr>
          <w:rFonts w:ascii="Times New Roman" w:hAnsi="Times New Roman" w:eastAsia="仿宋" w:cs="Times New Roman"/>
          <w:bCs/>
          <w:color w:val="auto"/>
          <w:sz w:val="28"/>
          <w:szCs w:val="28"/>
        </w:rPr>
      </w:pPr>
      <w:r>
        <w:rPr>
          <w:rFonts w:hint="eastAsia" w:ascii="Times New Roman" w:hAnsi="Times New Roman" w:eastAsia="仿宋" w:cs="Times New Roman"/>
          <w:bCs/>
          <w:color w:val="auto"/>
          <w:sz w:val="28"/>
          <w:szCs w:val="28"/>
        </w:rPr>
        <w:t>亳州市污水处理厂收水范围内为涡河以南、华佗大道以东、银杏路以北、铁路以西的区域及涡河以南、铁路以东、银杏路以北的区域，总收水面积约66平方公里</w:t>
      </w:r>
      <w:r>
        <w:rPr>
          <w:rFonts w:hint="eastAsia" w:ascii="Times New Roman" w:hAnsi="Times New Roman" w:eastAsia="仿宋" w:cs="Times New Roman"/>
          <w:bCs/>
          <w:color w:val="auto"/>
          <w:sz w:val="28"/>
          <w:szCs w:val="28"/>
          <w:lang w:eastAsia="zh-CN"/>
        </w:rPr>
        <w:t>，</w:t>
      </w:r>
      <w:r>
        <w:rPr>
          <w:rFonts w:hint="eastAsia" w:ascii="Times New Roman" w:hAnsi="Times New Roman" w:eastAsia="仿宋" w:cs="Times New Roman"/>
          <w:bCs/>
          <w:color w:val="auto"/>
          <w:sz w:val="28"/>
          <w:szCs w:val="28"/>
        </w:rPr>
        <w:t>污水量约为19.4万m</w:t>
      </w:r>
      <w:r>
        <w:rPr>
          <w:rFonts w:ascii="Times New Roman" w:hAnsi="Times New Roman" w:eastAsia="仿宋" w:cs="Times New Roman"/>
          <w:bCs/>
          <w:color w:val="auto"/>
          <w:sz w:val="28"/>
          <w:szCs w:val="28"/>
        </w:rPr>
        <w:t>³</w:t>
      </w:r>
      <w:r>
        <w:rPr>
          <w:rFonts w:hint="eastAsia" w:ascii="Times New Roman" w:hAnsi="Times New Roman" w:eastAsia="仿宋" w:cs="Times New Roman"/>
          <w:bCs/>
          <w:color w:val="auto"/>
          <w:sz w:val="28"/>
          <w:szCs w:val="28"/>
        </w:rPr>
        <w:t>/d，其中，已经建成并在运营的总建设规模为日处理污水13万吨(一期8万吨，二期5万吨)，占地面积约210亩，一期主要工艺为粗细格栅+旋流式沉砂池+改良型的氧化沟+二沉池+D型滤池+消毒池，二期主要工艺为粗细格栅+旋流式沉砂池+A</w:t>
      </w:r>
      <w:r>
        <w:rPr>
          <w:rFonts w:hint="eastAsia" w:ascii="Times New Roman" w:hAnsi="Times New Roman" w:eastAsia="仿宋" w:cs="Times New Roman"/>
          <w:bCs/>
          <w:color w:val="auto"/>
          <w:sz w:val="28"/>
          <w:szCs w:val="28"/>
          <w:vertAlign w:val="subscript"/>
        </w:rPr>
        <w:t>2</w:t>
      </w:r>
      <w:r>
        <w:rPr>
          <w:rFonts w:hint="eastAsia" w:ascii="Times New Roman" w:hAnsi="Times New Roman" w:eastAsia="仿宋" w:cs="Times New Roman"/>
          <w:bCs/>
          <w:color w:val="auto"/>
          <w:sz w:val="28"/>
          <w:szCs w:val="28"/>
        </w:rPr>
        <w:t>O氧化沟+二沉池+高效沉淀池+D型滤池+消毒池，处理后的污水均达到国家一级A排放标准。预计至2030年污水厂收水范围内污水量为26.54万m³/d，其中调往城南污水厂、</w:t>
      </w:r>
      <w:r>
        <w:rPr>
          <w:rFonts w:hint="eastAsia" w:ascii="Times New Roman" w:hAnsi="Times New Roman" w:eastAsia="仿宋" w:cs="Times New Roman"/>
          <w:bCs/>
          <w:color w:val="auto"/>
          <w:sz w:val="28"/>
          <w:szCs w:val="28"/>
        </w:rPr>
        <w:t>南部</w:t>
      </w:r>
      <w:r>
        <w:rPr>
          <w:rFonts w:hint="eastAsia" w:ascii="Times New Roman" w:hAnsi="Times New Roman" w:eastAsia="仿宋" w:cs="Times New Roman"/>
          <w:bCs/>
          <w:color w:val="auto"/>
          <w:sz w:val="28"/>
          <w:szCs w:val="28"/>
          <w:lang w:eastAsia="zh-CN"/>
        </w:rPr>
        <w:t>新区</w:t>
      </w:r>
      <w:r>
        <w:rPr>
          <w:rFonts w:hint="eastAsia" w:ascii="Times New Roman" w:hAnsi="Times New Roman" w:eastAsia="仿宋" w:cs="Times New Roman"/>
          <w:bCs/>
          <w:color w:val="auto"/>
          <w:sz w:val="28"/>
          <w:szCs w:val="28"/>
        </w:rPr>
        <w:t>污水厂、西部新城污水厂8.3万m</w:t>
      </w:r>
      <w:r>
        <w:rPr>
          <w:rFonts w:ascii="Times New Roman" w:hAnsi="Times New Roman" w:eastAsia="仿宋" w:cs="Times New Roman"/>
          <w:bCs/>
          <w:color w:val="auto"/>
          <w:sz w:val="28"/>
          <w:szCs w:val="28"/>
        </w:rPr>
        <w:t>³</w:t>
      </w:r>
      <w:r>
        <w:rPr>
          <w:rFonts w:hint="eastAsia" w:ascii="Times New Roman" w:hAnsi="Times New Roman" w:eastAsia="仿宋" w:cs="Times New Roman"/>
          <w:bCs/>
          <w:color w:val="auto"/>
          <w:sz w:val="28"/>
          <w:szCs w:val="28"/>
        </w:rPr>
        <w:t>/d。</w:t>
      </w:r>
    </w:p>
    <w:p>
      <w:pPr>
        <w:adjustRightInd w:val="0"/>
        <w:snapToGrid w:val="0"/>
        <w:spacing w:line="560" w:lineRule="exact"/>
        <w:jc w:val="center"/>
        <w:rPr>
          <w:rFonts w:hint="eastAsia" w:ascii="仿宋" w:hAnsi="仿宋" w:eastAsia="仿宋" w:cs="Times New Roman"/>
          <w:b/>
          <w:bCs/>
          <w:color w:val="auto"/>
          <w:sz w:val="28"/>
          <w:szCs w:val="28"/>
        </w:rPr>
      </w:pPr>
      <w:r>
        <w:rPr>
          <w:rFonts w:hint="eastAsia" w:ascii="仿宋" w:hAnsi="仿宋" w:eastAsia="仿宋" w:cs="Times New Roman"/>
          <w:b/>
          <w:bCs/>
          <w:color w:val="auto"/>
          <w:sz w:val="28"/>
          <w:szCs w:val="28"/>
        </w:rPr>
        <w:t>一、二期设计进出水水质表（单位：mg/L）</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987"/>
        <w:gridCol w:w="988"/>
        <w:gridCol w:w="988"/>
        <w:gridCol w:w="988"/>
        <w:gridCol w:w="988"/>
        <w:gridCol w:w="988"/>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91" w:type="dxa"/>
            <w:shd w:val="clear" w:color="auto" w:fill="D8D8D8"/>
            <w:vAlign w:val="center"/>
          </w:tcPr>
          <w:p>
            <w:pPr>
              <w:snapToGrid w:val="0"/>
              <w:spacing w:line="52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项目</w:t>
            </w:r>
          </w:p>
        </w:tc>
        <w:tc>
          <w:tcPr>
            <w:tcW w:w="987" w:type="dxa"/>
            <w:shd w:val="clear" w:color="auto" w:fill="D8D8D8"/>
            <w:vAlign w:val="center"/>
          </w:tcPr>
          <w:p>
            <w:pPr>
              <w:snapToGrid w:val="0"/>
              <w:spacing w:line="52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pH</w:t>
            </w:r>
          </w:p>
        </w:tc>
        <w:tc>
          <w:tcPr>
            <w:tcW w:w="988" w:type="dxa"/>
            <w:shd w:val="clear" w:color="auto" w:fill="D8D8D8"/>
            <w:vAlign w:val="center"/>
          </w:tcPr>
          <w:p>
            <w:pPr>
              <w:snapToGrid w:val="0"/>
              <w:spacing w:line="52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COD</w:t>
            </w:r>
            <w:r>
              <w:rPr>
                <w:rFonts w:hint="eastAsia" w:ascii="仿宋" w:hAnsi="仿宋" w:eastAsia="仿宋" w:cs="仿宋"/>
                <w:b/>
                <w:bCs/>
                <w:color w:val="auto"/>
                <w:sz w:val="24"/>
                <w:szCs w:val="24"/>
                <w:vertAlign w:val="subscript"/>
              </w:rPr>
              <w:t>Cr</w:t>
            </w:r>
          </w:p>
        </w:tc>
        <w:tc>
          <w:tcPr>
            <w:tcW w:w="988" w:type="dxa"/>
            <w:shd w:val="clear" w:color="auto" w:fill="D8D8D8"/>
            <w:vAlign w:val="center"/>
          </w:tcPr>
          <w:p>
            <w:pPr>
              <w:snapToGrid w:val="0"/>
              <w:spacing w:line="52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BOD</w:t>
            </w:r>
            <w:r>
              <w:rPr>
                <w:rFonts w:hint="eastAsia" w:ascii="仿宋" w:hAnsi="仿宋" w:eastAsia="仿宋" w:cs="仿宋"/>
                <w:b/>
                <w:bCs/>
                <w:color w:val="auto"/>
                <w:sz w:val="24"/>
                <w:szCs w:val="24"/>
                <w:vertAlign w:val="subscript"/>
              </w:rPr>
              <w:t>5</w:t>
            </w:r>
          </w:p>
        </w:tc>
        <w:tc>
          <w:tcPr>
            <w:tcW w:w="988" w:type="dxa"/>
            <w:shd w:val="clear" w:color="auto" w:fill="D8D8D8"/>
            <w:vAlign w:val="center"/>
          </w:tcPr>
          <w:p>
            <w:pPr>
              <w:snapToGrid w:val="0"/>
              <w:spacing w:line="52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SS</w:t>
            </w:r>
          </w:p>
        </w:tc>
        <w:tc>
          <w:tcPr>
            <w:tcW w:w="988" w:type="dxa"/>
            <w:shd w:val="clear" w:color="auto" w:fill="D8D8D8"/>
            <w:vAlign w:val="center"/>
          </w:tcPr>
          <w:p>
            <w:pPr>
              <w:snapToGrid w:val="0"/>
              <w:spacing w:line="52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NH</w:t>
            </w:r>
            <w:r>
              <w:rPr>
                <w:rFonts w:hint="eastAsia" w:ascii="仿宋" w:hAnsi="仿宋" w:eastAsia="仿宋" w:cs="仿宋"/>
                <w:b/>
                <w:bCs/>
                <w:color w:val="auto"/>
                <w:sz w:val="24"/>
                <w:szCs w:val="24"/>
                <w:vertAlign w:val="subscript"/>
              </w:rPr>
              <w:t>3</w:t>
            </w:r>
            <w:r>
              <w:rPr>
                <w:rFonts w:hint="eastAsia" w:ascii="仿宋" w:hAnsi="仿宋" w:eastAsia="仿宋" w:cs="仿宋"/>
                <w:b/>
                <w:bCs/>
                <w:color w:val="auto"/>
                <w:sz w:val="24"/>
                <w:szCs w:val="24"/>
              </w:rPr>
              <w:t>-N</w:t>
            </w:r>
          </w:p>
        </w:tc>
        <w:tc>
          <w:tcPr>
            <w:tcW w:w="988" w:type="dxa"/>
            <w:shd w:val="clear" w:color="auto" w:fill="D8D8D8"/>
            <w:vAlign w:val="center"/>
          </w:tcPr>
          <w:p>
            <w:pPr>
              <w:snapToGrid w:val="0"/>
              <w:spacing w:line="52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TN</w:t>
            </w:r>
          </w:p>
        </w:tc>
        <w:tc>
          <w:tcPr>
            <w:tcW w:w="988" w:type="dxa"/>
            <w:shd w:val="clear" w:color="auto" w:fill="D8D8D8"/>
            <w:vAlign w:val="center"/>
          </w:tcPr>
          <w:p>
            <w:pPr>
              <w:snapToGrid w:val="0"/>
              <w:spacing w:line="52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1"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一期进水</w:t>
            </w:r>
          </w:p>
        </w:tc>
        <w:tc>
          <w:tcPr>
            <w:tcW w:w="987"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6~9</w:t>
            </w:r>
          </w:p>
        </w:tc>
        <w:tc>
          <w:tcPr>
            <w:tcW w:w="988"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360</w:t>
            </w:r>
          </w:p>
        </w:tc>
        <w:tc>
          <w:tcPr>
            <w:tcW w:w="988"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160</w:t>
            </w:r>
          </w:p>
        </w:tc>
        <w:tc>
          <w:tcPr>
            <w:tcW w:w="988"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200</w:t>
            </w:r>
          </w:p>
        </w:tc>
        <w:tc>
          <w:tcPr>
            <w:tcW w:w="988"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25</w:t>
            </w:r>
          </w:p>
        </w:tc>
        <w:tc>
          <w:tcPr>
            <w:tcW w:w="988"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30</w:t>
            </w:r>
          </w:p>
        </w:tc>
        <w:tc>
          <w:tcPr>
            <w:tcW w:w="988"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1"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二期进水</w:t>
            </w:r>
          </w:p>
        </w:tc>
        <w:tc>
          <w:tcPr>
            <w:tcW w:w="987"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6~9</w:t>
            </w:r>
          </w:p>
        </w:tc>
        <w:tc>
          <w:tcPr>
            <w:tcW w:w="988"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400</w:t>
            </w:r>
          </w:p>
        </w:tc>
        <w:tc>
          <w:tcPr>
            <w:tcW w:w="988"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160</w:t>
            </w:r>
          </w:p>
        </w:tc>
        <w:tc>
          <w:tcPr>
            <w:tcW w:w="988"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200</w:t>
            </w:r>
          </w:p>
        </w:tc>
        <w:tc>
          <w:tcPr>
            <w:tcW w:w="988"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30</w:t>
            </w:r>
          </w:p>
        </w:tc>
        <w:tc>
          <w:tcPr>
            <w:tcW w:w="988"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45</w:t>
            </w:r>
          </w:p>
        </w:tc>
        <w:tc>
          <w:tcPr>
            <w:tcW w:w="988"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1"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出水</w:t>
            </w:r>
          </w:p>
        </w:tc>
        <w:tc>
          <w:tcPr>
            <w:tcW w:w="987"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6~9</w:t>
            </w:r>
          </w:p>
        </w:tc>
        <w:tc>
          <w:tcPr>
            <w:tcW w:w="988"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50</w:t>
            </w:r>
          </w:p>
        </w:tc>
        <w:tc>
          <w:tcPr>
            <w:tcW w:w="988"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10</w:t>
            </w:r>
          </w:p>
        </w:tc>
        <w:tc>
          <w:tcPr>
            <w:tcW w:w="988"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10</w:t>
            </w:r>
          </w:p>
        </w:tc>
        <w:tc>
          <w:tcPr>
            <w:tcW w:w="988"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5（8）</w:t>
            </w:r>
          </w:p>
        </w:tc>
        <w:tc>
          <w:tcPr>
            <w:tcW w:w="988"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15</w:t>
            </w:r>
          </w:p>
        </w:tc>
        <w:tc>
          <w:tcPr>
            <w:tcW w:w="988" w:type="dxa"/>
            <w:vAlign w:val="center"/>
          </w:tcPr>
          <w:p>
            <w:pPr>
              <w:snapToGrid w:val="0"/>
              <w:spacing w:line="52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0.5</w:t>
            </w:r>
          </w:p>
        </w:tc>
      </w:tr>
    </w:tbl>
    <w:p>
      <w:pPr>
        <w:spacing w:line="560" w:lineRule="exact"/>
        <w:ind w:firstLine="562" w:firstLineChars="200"/>
        <w:rPr>
          <w:rFonts w:hint="default" w:ascii="Times New Roman" w:hAnsi="Times New Roman" w:eastAsia="仿宋" w:cs="Times New Roman"/>
          <w:b/>
          <w:bCs w:val="0"/>
          <w:color w:val="auto"/>
          <w:sz w:val="28"/>
          <w:szCs w:val="28"/>
          <w:lang w:val="en-US" w:eastAsia="zh-CN"/>
        </w:rPr>
      </w:pPr>
      <w:r>
        <w:rPr>
          <w:rFonts w:hint="eastAsia" w:ascii="Times New Roman" w:hAnsi="Times New Roman" w:eastAsia="仿宋" w:cs="Times New Roman"/>
          <w:b/>
          <w:bCs w:val="0"/>
          <w:color w:val="auto"/>
          <w:sz w:val="28"/>
          <w:szCs w:val="28"/>
          <w:lang w:val="en-US" w:eastAsia="zh-CN"/>
        </w:rPr>
        <w:t>2024年全年市政</w:t>
      </w:r>
      <w:r>
        <w:rPr>
          <w:rFonts w:hint="eastAsia" w:ascii="Times New Roman" w:hAnsi="Times New Roman" w:eastAsia="仿宋" w:cs="Times New Roman"/>
          <w:b/>
          <w:bCs w:val="0"/>
          <w:color w:val="auto"/>
          <w:sz w:val="28"/>
          <w:szCs w:val="28"/>
          <w:lang w:eastAsia="zh-CN"/>
        </w:rPr>
        <w:t>公共供水</w:t>
      </w:r>
      <w:r>
        <w:rPr>
          <w:rFonts w:hint="eastAsia" w:ascii="Times New Roman" w:hAnsi="Times New Roman" w:eastAsia="仿宋" w:cs="Times New Roman"/>
          <w:b/>
          <w:bCs w:val="0"/>
          <w:color w:val="auto"/>
          <w:sz w:val="28"/>
          <w:szCs w:val="28"/>
          <w:lang w:val="en-US" w:eastAsia="zh-CN"/>
        </w:rPr>
        <w:t>7099万吨，其中居民生活污水处</w:t>
      </w:r>
      <w:bookmarkStart w:id="1" w:name="_GoBack"/>
      <w:bookmarkEnd w:id="1"/>
      <w:r>
        <w:rPr>
          <w:rFonts w:hint="eastAsia" w:ascii="Times New Roman" w:hAnsi="Times New Roman" w:eastAsia="仿宋" w:cs="Times New Roman"/>
          <w:b/>
          <w:bCs w:val="0"/>
          <w:color w:val="auto"/>
          <w:sz w:val="28"/>
          <w:szCs w:val="28"/>
          <w:lang w:val="en-US" w:eastAsia="zh-CN"/>
        </w:rPr>
        <w:t>理费0.95元/吨，非居民用户污水处理费1.4元/吨。</w:t>
      </w:r>
    </w:p>
    <w:p>
      <w:pPr>
        <w:spacing w:line="560" w:lineRule="exact"/>
        <w:ind w:firstLine="560" w:firstLineChars="200"/>
        <w:rPr>
          <w:rFonts w:ascii="Times New Roman" w:hAnsi="Times New Roman" w:eastAsia="仿宋" w:cs="Times New Roman"/>
          <w:bCs/>
          <w:color w:val="auto"/>
          <w:sz w:val="28"/>
          <w:szCs w:val="28"/>
        </w:rPr>
      </w:pPr>
      <w:r>
        <w:rPr>
          <w:rFonts w:hint="eastAsia" w:ascii="Times New Roman" w:hAnsi="Times New Roman" w:eastAsia="仿宋" w:cs="Times New Roman"/>
          <w:bCs/>
          <w:color w:val="auto"/>
          <w:sz w:val="28"/>
          <w:szCs w:val="28"/>
        </w:rPr>
        <w:t>近三年的进水水质统计情况如图：</w:t>
      </w:r>
    </w:p>
    <w:p>
      <w:pPr>
        <w:ind w:firstLine="560" w:firstLineChars="200"/>
        <w:jc w:val="center"/>
        <w:rPr>
          <w:rFonts w:hint="eastAsia" w:ascii="Times New Roman" w:hAnsi="Times New Roman" w:eastAsia="仿宋" w:cs="Times New Roman"/>
          <w:bCs/>
          <w:color w:val="auto"/>
          <w:sz w:val="28"/>
          <w:szCs w:val="28"/>
        </w:rPr>
      </w:pPr>
    </w:p>
    <w:p>
      <w:pPr>
        <w:ind w:firstLine="440" w:firstLineChars="200"/>
        <w:jc w:val="center"/>
        <w:rPr>
          <w:rFonts w:ascii="Times New Roman" w:hAnsi="Times New Roman" w:eastAsia="仿宋" w:cs="Times New Roman"/>
          <w:bCs/>
          <w:color w:val="auto"/>
          <w:sz w:val="28"/>
          <w:szCs w:val="28"/>
        </w:rPr>
      </w:pPr>
      <w:r>
        <w:rPr>
          <w:bCs/>
          <w:color w:val="auto"/>
          <w:sz w:val="22"/>
          <w:szCs w:val="24"/>
        </w:rPr>
        <w:drawing>
          <wp:inline distT="0" distB="0" distL="0" distR="0">
            <wp:extent cx="4543425" cy="3076575"/>
            <wp:effectExtent l="0" t="0" r="9525" b="9525"/>
            <wp:docPr id="115802259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ind w:firstLine="440" w:firstLineChars="200"/>
        <w:jc w:val="center"/>
        <w:rPr>
          <w:rFonts w:hint="eastAsia" w:ascii="Times New Roman" w:hAnsi="Times New Roman" w:eastAsia="仿宋" w:cs="Times New Roman"/>
          <w:bCs/>
          <w:color w:val="auto"/>
          <w:sz w:val="28"/>
          <w:szCs w:val="28"/>
        </w:rPr>
      </w:pPr>
      <w:r>
        <w:rPr>
          <w:bCs/>
          <w:color w:val="auto"/>
          <w:sz w:val="22"/>
          <w:szCs w:val="24"/>
        </w:rPr>
        <w:drawing>
          <wp:inline distT="0" distB="0" distL="0" distR="0">
            <wp:extent cx="4495800" cy="2838450"/>
            <wp:effectExtent l="0" t="0" r="0" b="0"/>
            <wp:docPr id="35880876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spacing w:before="156" w:beforeLines="50" w:after="62" w:afterLines="20" w:line="560" w:lineRule="exact"/>
        <w:ind w:firstLine="562" w:firstLineChars="200"/>
        <w:rPr>
          <w:rFonts w:hint="eastAsia" w:ascii="仿宋黑体" w:hAnsi="Times New Roman" w:eastAsia="仿宋黑体" w:cs="Times New Roman"/>
          <w:b/>
          <w:bCs/>
          <w:color w:val="auto"/>
          <w:sz w:val="28"/>
          <w:szCs w:val="28"/>
        </w:rPr>
      </w:pPr>
      <w:r>
        <w:rPr>
          <w:rFonts w:hint="eastAsia" w:ascii="仿宋黑体" w:hAnsi="Times New Roman" w:eastAsia="仿宋黑体" w:cs="Times New Roman"/>
          <w:b/>
          <w:bCs/>
          <w:color w:val="auto"/>
          <w:sz w:val="28"/>
          <w:szCs w:val="28"/>
        </w:rPr>
        <w:t>二、项目建设要求</w:t>
      </w:r>
    </w:p>
    <w:p>
      <w:pPr>
        <w:spacing w:line="560" w:lineRule="exact"/>
        <w:ind w:firstLine="560" w:firstLineChars="200"/>
        <w:rPr>
          <w:rFonts w:ascii="Times New Roman" w:hAnsi="Times New Roman" w:eastAsia="仿宋" w:cs="Times New Roman"/>
          <w:bCs/>
          <w:color w:val="auto"/>
          <w:sz w:val="28"/>
          <w:szCs w:val="28"/>
        </w:rPr>
      </w:pPr>
      <w:r>
        <w:rPr>
          <w:rFonts w:hint="eastAsia" w:ascii="Times New Roman" w:hAnsi="Times New Roman" w:eastAsia="仿宋" w:cs="Times New Roman"/>
          <w:bCs/>
          <w:color w:val="auto"/>
          <w:sz w:val="28"/>
          <w:szCs w:val="28"/>
        </w:rPr>
        <w:t>本次拟实施的为三期扩建工程，设计规模为5.0万m</w:t>
      </w:r>
      <w:r>
        <w:rPr>
          <w:rFonts w:ascii="Calibri" w:hAnsi="Calibri" w:eastAsia="仿宋" w:cs="Calibri"/>
          <w:bCs/>
          <w:color w:val="auto"/>
          <w:sz w:val="28"/>
          <w:szCs w:val="28"/>
        </w:rPr>
        <w:t>³</w:t>
      </w:r>
      <w:r>
        <w:rPr>
          <w:rFonts w:hint="eastAsia" w:ascii="Times New Roman" w:hAnsi="Times New Roman" w:eastAsia="仿宋" w:cs="Times New Roman"/>
          <w:bCs/>
          <w:color w:val="auto"/>
          <w:sz w:val="28"/>
          <w:szCs w:val="28"/>
        </w:rPr>
        <w:t>/d，设计出水水质要求达到《城镇污水处理厂污染物排放标准》（GB18918-2002）一级A标准</w:t>
      </w:r>
      <w:r>
        <w:rPr>
          <w:rFonts w:hint="eastAsia" w:ascii="Times New Roman" w:hAnsi="Times New Roman" w:eastAsia="仿宋" w:cs="Times New Roman"/>
          <w:bCs/>
          <w:color w:val="auto"/>
          <w:sz w:val="28"/>
          <w:szCs w:val="28"/>
          <w:lang w:eastAsia="zh-CN"/>
        </w:rPr>
        <w:t>，</w:t>
      </w:r>
      <w:r>
        <w:rPr>
          <w:rFonts w:hint="eastAsia" w:ascii="Times New Roman" w:hAnsi="Times New Roman" w:eastAsia="仿宋" w:cs="Times New Roman"/>
          <w:bCs/>
          <w:color w:val="auto"/>
          <w:sz w:val="28"/>
          <w:szCs w:val="28"/>
          <w:lang w:eastAsia="zh-CN"/>
        </w:rPr>
        <w:t>建设模式为地上式，处理工艺为</w:t>
      </w:r>
      <w:r>
        <w:rPr>
          <w:rFonts w:hint="eastAsia" w:ascii="Times New Roman" w:hAnsi="Times New Roman" w:eastAsia="仿宋" w:cs="Times New Roman"/>
          <w:bCs/>
          <w:color w:val="auto"/>
          <w:sz w:val="28"/>
          <w:szCs w:val="28"/>
          <w:lang w:val="en-US" w:eastAsia="zh-CN"/>
        </w:rPr>
        <w:t>AOA/A2O</w:t>
      </w:r>
      <w:r>
        <w:rPr>
          <w:rFonts w:hint="eastAsia" w:ascii="Times New Roman" w:hAnsi="Times New Roman" w:eastAsia="仿宋" w:cs="Times New Roman"/>
          <w:bCs/>
          <w:color w:val="auto"/>
          <w:sz w:val="28"/>
          <w:szCs w:val="28"/>
        </w:rPr>
        <w:t>。</w:t>
      </w:r>
      <w:r>
        <w:rPr>
          <w:rFonts w:hint="eastAsia" w:ascii="Times New Roman" w:hAnsi="Times New Roman" w:eastAsia="仿宋" w:cs="Times New Roman"/>
          <w:bCs/>
          <w:color w:val="auto"/>
          <w:sz w:val="28"/>
          <w:szCs w:val="28"/>
        </w:rPr>
        <w:t>三期工程具体位置为：亳涡路与药都大道交界处东北侧，规划木兰大道东侧，亳州市污水处理厂一二期西侧。厂址北侧为规划桃仁路，南侧为药都大道，西侧为规划老君大道，东侧为污水厂一二期。污水厂红线按照南北西道路红线退界20m，污水厂红线范围内建设用地面积为54460.38㎡。该地块用地性质为市政排水用地，</w:t>
      </w:r>
      <w:r>
        <w:rPr>
          <w:rFonts w:hint="eastAsia" w:ascii="Times New Roman" w:hAnsi="Times New Roman" w:eastAsia="仿宋" w:cs="Times New Roman"/>
          <w:bCs/>
          <w:color w:val="auto"/>
          <w:sz w:val="28"/>
          <w:szCs w:val="28"/>
          <w:lang w:eastAsia="zh-CN"/>
        </w:rPr>
        <w:t>无偿划拨，</w:t>
      </w:r>
      <w:r>
        <w:rPr>
          <w:rFonts w:hint="eastAsia" w:ascii="Times New Roman" w:hAnsi="Times New Roman" w:eastAsia="仿宋" w:cs="Times New Roman"/>
          <w:bCs/>
          <w:color w:val="auto"/>
          <w:sz w:val="28"/>
          <w:szCs w:val="28"/>
        </w:rPr>
        <w:t>用地有保障。</w:t>
      </w:r>
    </w:p>
    <w:p>
      <w:pPr>
        <w:autoSpaceDE w:val="0"/>
        <w:autoSpaceDN w:val="0"/>
        <w:adjustRightInd w:val="0"/>
        <w:jc w:val="center"/>
        <w:rPr>
          <w:rFonts w:ascii="Times New Roman" w:hAnsi="Times New Roman" w:eastAsia="宋体" w:cs="宋体"/>
          <w:bCs/>
          <w:color w:val="auto"/>
          <w:kern w:val="0"/>
          <w:szCs w:val="21"/>
        </w:rPr>
      </w:pPr>
      <w:r>
        <w:rPr>
          <w:rFonts w:ascii="Times New Roman" w:hAnsi="Times New Roman" w:eastAsia="宋体" w:cs="宋体"/>
          <w:bCs/>
          <w:color w:val="auto"/>
          <w:kern w:val="0"/>
          <w:szCs w:val="21"/>
        </w:rPr>
        <w:drawing>
          <wp:inline distT="0" distB="0" distL="114300" distR="114300">
            <wp:extent cx="4441190" cy="3135630"/>
            <wp:effectExtent l="0" t="0" r="0" b="7620"/>
            <wp:docPr id="102" name="图片 4"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 name="图片 4" descr="IMG_256"/>
                    <pic:cNvPicPr>
                      <a:picLocks noChangeAspect="true"/>
                    </pic:cNvPicPr>
                  </pic:nvPicPr>
                  <pic:blipFill>
                    <a:blip r:embed="rId7"/>
                    <a:stretch>
                      <a:fillRect/>
                    </a:stretch>
                  </pic:blipFill>
                  <pic:spPr>
                    <a:xfrm>
                      <a:off x="0" y="0"/>
                      <a:ext cx="4454684" cy="3145523"/>
                    </a:xfrm>
                    <a:prstGeom prst="rect">
                      <a:avLst/>
                    </a:prstGeom>
                    <a:noFill/>
                    <a:ln w="9525">
                      <a:noFill/>
                    </a:ln>
                  </pic:spPr>
                </pic:pic>
              </a:graphicData>
            </a:graphic>
          </wp:inline>
        </w:drawing>
      </w:r>
    </w:p>
    <w:p>
      <w:pPr>
        <w:adjustRightInd w:val="0"/>
        <w:snapToGrid w:val="0"/>
        <w:jc w:val="center"/>
        <w:rPr>
          <w:rFonts w:ascii="仿宋" w:hAnsi="仿宋" w:eastAsia="仿宋" w:cs="Times New Roman"/>
          <w:b/>
          <w:bCs/>
          <w:color w:val="auto"/>
          <w:sz w:val="28"/>
          <w:szCs w:val="28"/>
        </w:rPr>
      </w:pPr>
      <w:r>
        <w:rPr>
          <w:b/>
          <w:bCs/>
          <w:color w:val="auto"/>
          <w:szCs w:val="21"/>
        </w:rPr>
        <w:drawing>
          <wp:inline distT="0" distB="0" distL="0" distR="0">
            <wp:extent cx="3918585" cy="3209290"/>
            <wp:effectExtent l="0" t="0" r="5715" b="0"/>
            <wp:docPr id="170910840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09108408" name="图片 1"/>
                    <pic:cNvPicPr>
                      <a:picLocks noChangeAspect="true"/>
                    </pic:cNvPicPr>
                  </pic:nvPicPr>
                  <pic:blipFill>
                    <a:blip r:embed="rId8"/>
                    <a:stretch>
                      <a:fillRect/>
                    </a:stretch>
                  </pic:blipFill>
                  <pic:spPr>
                    <a:xfrm>
                      <a:off x="0" y="0"/>
                      <a:ext cx="3931355" cy="3219962"/>
                    </a:xfrm>
                    <a:prstGeom prst="rect">
                      <a:avLst/>
                    </a:prstGeom>
                  </pic:spPr>
                </pic:pic>
              </a:graphicData>
            </a:graphic>
          </wp:inline>
        </w:drawing>
      </w:r>
    </w:p>
    <w:p>
      <w:pPr>
        <w:spacing w:before="156" w:beforeLines="50" w:after="62" w:afterLines="20" w:line="560" w:lineRule="exact"/>
        <w:ind w:firstLine="562" w:firstLineChars="200"/>
        <w:rPr>
          <w:rFonts w:hint="eastAsia" w:ascii="仿宋黑体" w:hAnsi="Times New Roman" w:eastAsia="仿宋黑体" w:cs="Times New Roman"/>
          <w:b/>
          <w:bCs/>
          <w:color w:val="auto"/>
          <w:sz w:val="28"/>
          <w:szCs w:val="28"/>
        </w:rPr>
      </w:pPr>
      <w:r>
        <w:rPr>
          <w:rFonts w:hint="eastAsia" w:ascii="仿宋黑体" w:hAnsi="Times New Roman" w:eastAsia="仿宋黑体" w:cs="Times New Roman"/>
          <w:b/>
          <w:bCs/>
          <w:color w:val="auto"/>
          <w:sz w:val="28"/>
          <w:szCs w:val="28"/>
        </w:rPr>
        <w:t>三</w:t>
      </w:r>
      <w:r>
        <w:rPr>
          <w:rFonts w:ascii="仿宋黑体" w:hAnsi="Times New Roman" w:eastAsia="仿宋黑体" w:cs="Times New Roman"/>
          <w:b/>
          <w:bCs/>
          <w:color w:val="auto"/>
          <w:sz w:val="28"/>
          <w:szCs w:val="28"/>
        </w:rPr>
        <w:t>、</w:t>
      </w:r>
      <w:r>
        <w:rPr>
          <w:rFonts w:hint="eastAsia" w:ascii="仿宋黑体" w:hAnsi="Times New Roman" w:eastAsia="仿宋黑体" w:cs="Times New Roman"/>
          <w:b/>
          <w:bCs/>
          <w:color w:val="auto"/>
          <w:sz w:val="28"/>
          <w:szCs w:val="28"/>
        </w:rPr>
        <w:t>特许经营交易结构设计</w:t>
      </w:r>
    </w:p>
    <w:p>
      <w:pPr>
        <w:spacing w:line="560" w:lineRule="exact"/>
        <w:ind w:firstLine="560" w:firstLineChars="200"/>
        <w:rPr>
          <w:rFonts w:ascii="Times New Roman" w:hAnsi="Times New Roman" w:eastAsia="仿宋" w:cs="Times New Roman"/>
          <w:bCs/>
          <w:color w:val="auto"/>
          <w:sz w:val="28"/>
          <w:szCs w:val="28"/>
        </w:rPr>
      </w:pPr>
      <w:r>
        <w:rPr>
          <w:rFonts w:ascii="Times New Roman" w:hAnsi="Times New Roman" w:eastAsia="仿宋" w:cs="Times New Roman"/>
          <w:bCs/>
          <w:color w:val="auto"/>
          <w:sz w:val="28"/>
          <w:szCs w:val="28"/>
        </w:rPr>
        <w:t>（一）运作模式。</w:t>
      </w:r>
      <w:r>
        <w:rPr>
          <w:rFonts w:hint="eastAsia" w:ascii="Times New Roman" w:hAnsi="Times New Roman" w:eastAsia="仿宋" w:cs="Times New Roman"/>
          <w:bCs/>
          <w:color w:val="auto"/>
          <w:sz w:val="28"/>
          <w:szCs w:val="28"/>
        </w:rPr>
        <w:t>项目</w:t>
      </w:r>
      <w:r>
        <w:rPr>
          <w:rFonts w:ascii="Times New Roman" w:hAnsi="Times New Roman" w:eastAsia="仿宋" w:cs="Times New Roman"/>
          <w:bCs/>
          <w:color w:val="auto"/>
          <w:sz w:val="28"/>
          <w:szCs w:val="28"/>
        </w:rPr>
        <w:t>计划采用特许经营模式(BOT)，由</w:t>
      </w:r>
      <w:r>
        <w:rPr>
          <w:rFonts w:hint="eastAsia" w:ascii="Times New Roman" w:hAnsi="Times New Roman" w:eastAsia="仿宋" w:cs="Times New Roman"/>
          <w:bCs/>
          <w:color w:val="auto"/>
          <w:sz w:val="28"/>
          <w:szCs w:val="28"/>
        </w:rPr>
        <w:t>亳州市人民政府</w:t>
      </w:r>
      <w:r>
        <w:rPr>
          <w:rFonts w:ascii="Times New Roman" w:hAnsi="Times New Roman" w:eastAsia="仿宋" w:cs="Times New Roman"/>
          <w:bCs/>
          <w:color w:val="auto"/>
          <w:sz w:val="28"/>
          <w:szCs w:val="28"/>
        </w:rPr>
        <w:t>授权</w:t>
      </w:r>
      <w:r>
        <w:rPr>
          <w:rFonts w:hint="eastAsia" w:ascii="Times New Roman" w:hAnsi="Times New Roman" w:eastAsia="仿宋" w:cs="Times New Roman"/>
          <w:bCs/>
          <w:color w:val="auto"/>
          <w:sz w:val="28"/>
          <w:szCs w:val="28"/>
        </w:rPr>
        <w:t>亳州市城市管理局</w:t>
      </w:r>
      <w:r>
        <w:rPr>
          <w:rFonts w:ascii="Times New Roman" w:hAnsi="Times New Roman" w:eastAsia="仿宋" w:cs="Times New Roman"/>
          <w:bCs/>
          <w:color w:val="auto"/>
          <w:sz w:val="28"/>
          <w:szCs w:val="28"/>
        </w:rPr>
        <w:t>作为项目实施机构，公开招标择优选择具有投资、融资、建设和运营管理优势的特许经营者，由中标特许经营者全资出资成立项目公司，拥有项目特许经营权，通过签订特许经营协议约定项目公司在一定期限和范围内投资、建设、运营、维护本项目并获得收益，并在期满后无偿移交政府方。</w:t>
      </w:r>
    </w:p>
    <w:p>
      <w:pPr>
        <w:spacing w:line="560" w:lineRule="exact"/>
        <w:ind w:firstLine="560" w:firstLineChars="200"/>
        <w:rPr>
          <w:rFonts w:ascii="Times New Roman" w:hAnsi="Times New Roman" w:eastAsia="仿宋" w:cs="Times New Roman"/>
          <w:bCs/>
          <w:color w:val="auto"/>
          <w:sz w:val="28"/>
          <w:szCs w:val="28"/>
        </w:rPr>
      </w:pPr>
      <w:r>
        <w:rPr>
          <w:rFonts w:ascii="Times New Roman" w:hAnsi="Times New Roman" w:eastAsia="仿宋" w:cs="Times New Roman"/>
          <w:bCs/>
          <w:color w:val="auto"/>
          <w:sz w:val="28"/>
          <w:szCs w:val="28"/>
        </w:rPr>
        <w:t>（二）合作年限。合作期限</w:t>
      </w:r>
      <w:r>
        <w:rPr>
          <w:rFonts w:hint="eastAsia" w:ascii="Times New Roman" w:hAnsi="Times New Roman" w:eastAsia="仿宋" w:cs="Times New Roman"/>
          <w:bCs/>
          <w:color w:val="auto"/>
          <w:sz w:val="28"/>
          <w:szCs w:val="28"/>
        </w:rPr>
        <w:t>不超过</w:t>
      </w:r>
      <w:r>
        <w:rPr>
          <w:rFonts w:ascii="Times New Roman" w:hAnsi="Times New Roman" w:eastAsia="仿宋" w:cs="Times New Roman"/>
          <w:bCs/>
          <w:color w:val="auto"/>
          <w:sz w:val="28"/>
          <w:szCs w:val="28"/>
        </w:rPr>
        <w:t>40年</w:t>
      </w:r>
      <w:r>
        <w:rPr>
          <w:rFonts w:hint="eastAsia" w:ascii="Times New Roman" w:hAnsi="Times New Roman" w:eastAsia="仿宋" w:cs="Times New Roman"/>
          <w:bCs/>
          <w:color w:val="auto"/>
          <w:sz w:val="28"/>
          <w:szCs w:val="28"/>
        </w:rPr>
        <w:t>，其中建设期不超过2年（自特许经营合同签订至项目正式运营之日）</w:t>
      </w:r>
      <w:r>
        <w:rPr>
          <w:rFonts w:ascii="Times New Roman" w:hAnsi="Times New Roman" w:eastAsia="仿宋" w:cs="Times New Roman"/>
          <w:bCs/>
          <w:color w:val="auto"/>
          <w:sz w:val="28"/>
          <w:szCs w:val="28"/>
        </w:rPr>
        <w:t>。</w:t>
      </w:r>
    </w:p>
    <w:p>
      <w:pPr>
        <w:spacing w:line="560" w:lineRule="exact"/>
        <w:ind w:firstLine="560" w:firstLineChars="200"/>
        <w:rPr>
          <w:rFonts w:ascii="Times New Roman" w:hAnsi="Times New Roman" w:eastAsia="仿宋" w:cs="Times New Roman"/>
          <w:bCs/>
          <w:color w:val="auto"/>
          <w:sz w:val="28"/>
          <w:szCs w:val="28"/>
        </w:rPr>
      </w:pPr>
      <w:r>
        <w:rPr>
          <w:rFonts w:ascii="Times New Roman" w:hAnsi="Times New Roman" w:eastAsia="仿宋" w:cs="Times New Roman"/>
          <w:bCs/>
          <w:color w:val="auto"/>
          <w:sz w:val="28"/>
          <w:szCs w:val="28"/>
        </w:rPr>
        <w:t>（三）收费渠道及方式。本项目收费渠道为污水处理费收入，政府方或其依法授权的机构代为向用户收费，缴入国库的污水处理费由政府统筹，按照特许经营协议定期向特许经营项目公司支付污水处理费。</w:t>
      </w:r>
    </w:p>
    <w:p>
      <w:pPr>
        <w:spacing w:line="560" w:lineRule="exact"/>
        <w:ind w:firstLine="560" w:firstLineChars="200"/>
        <w:rPr>
          <w:rFonts w:ascii="Times New Roman" w:hAnsi="Times New Roman" w:eastAsia="仿宋" w:cs="Times New Roman"/>
          <w:bCs/>
          <w:color w:val="auto"/>
          <w:sz w:val="28"/>
          <w:szCs w:val="28"/>
        </w:rPr>
      </w:pPr>
      <w:r>
        <w:rPr>
          <w:rFonts w:ascii="Times New Roman" w:hAnsi="Times New Roman" w:eastAsia="仿宋" w:cs="Times New Roman"/>
          <w:bCs/>
          <w:color w:val="auto"/>
          <w:sz w:val="28"/>
          <w:szCs w:val="28"/>
        </w:rPr>
        <w:t>（</w:t>
      </w:r>
      <w:r>
        <w:rPr>
          <w:rFonts w:hint="eastAsia" w:ascii="Times New Roman" w:hAnsi="Times New Roman" w:eastAsia="仿宋" w:cs="Times New Roman"/>
          <w:bCs/>
          <w:color w:val="auto"/>
          <w:sz w:val="28"/>
          <w:szCs w:val="28"/>
        </w:rPr>
        <w:t>四</w:t>
      </w:r>
      <w:r>
        <w:rPr>
          <w:rFonts w:ascii="Times New Roman" w:hAnsi="Times New Roman" w:eastAsia="仿宋" w:cs="Times New Roman"/>
          <w:bCs/>
          <w:color w:val="auto"/>
          <w:sz w:val="28"/>
          <w:szCs w:val="28"/>
        </w:rPr>
        <w:t>）</w:t>
      </w:r>
      <w:r>
        <w:rPr>
          <w:rFonts w:hint="eastAsia" w:ascii="Times New Roman" w:hAnsi="Times New Roman" w:eastAsia="仿宋" w:cs="Times New Roman"/>
          <w:bCs/>
          <w:color w:val="auto"/>
          <w:sz w:val="28"/>
          <w:szCs w:val="28"/>
        </w:rPr>
        <w:t>市场风险划分</w:t>
      </w:r>
      <w:r>
        <w:rPr>
          <w:rFonts w:ascii="Times New Roman" w:hAnsi="Times New Roman" w:eastAsia="仿宋" w:cs="Times New Roman"/>
          <w:bCs/>
          <w:color w:val="auto"/>
          <w:sz w:val="28"/>
          <w:szCs w:val="28"/>
        </w:rPr>
        <w:t>。</w:t>
      </w:r>
      <w:r>
        <w:rPr>
          <w:rFonts w:hint="eastAsia" w:ascii="Times New Roman" w:hAnsi="Times New Roman" w:eastAsia="仿宋" w:cs="Times New Roman"/>
          <w:bCs/>
          <w:color w:val="auto"/>
          <w:sz w:val="28"/>
          <w:szCs w:val="28"/>
        </w:rPr>
        <w:t>本项目严格按照国办函〔2023〕115号文要求，采用特许经营模式实施。政府不向特许经营者承诺固定的项目投资财务内部收益率，不承诺基本处理水量或污水处理服务费收入等任何兜底性保障</w:t>
      </w:r>
      <w:r>
        <w:rPr>
          <w:rFonts w:ascii="Times New Roman" w:hAnsi="Times New Roman" w:eastAsia="仿宋" w:cs="Times New Roman"/>
          <w:bCs/>
          <w:color w:val="auto"/>
          <w:sz w:val="28"/>
          <w:szCs w:val="28"/>
        </w:rPr>
        <w:t>。</w:t>
      </w:r>
    </w:p>
    <w:p>
      <w:pPr>
        <w:spacing w:line="560" w:lineRule="exact"/>
        <w:ind w:firstLine="560" w:firstLineChars="200"/>
        <w:rPr>
          <w:rFonts w:hint="eastAsia" w:ascii="Times New Roman" w:hAnsi="Times New Roman" w:eastAsia="仿宋" w:cs="Times New Roman"/>
          <w:bCs/>
          <w:color w:val="auto"/>
          <w:sz w:val="28"/>
          <w:szCs w:val="28"/>
        </w:rPr>
      </w:pPr>
      <w:r>
        <w:rPr>
          <w:rFonts w:hint="eastAsia" w:ascii="Times New Roman" w:hAnsi="Times New Roman" w:eastAsia="仿宋" w:cs="Times New Roman"/>
          <w:bCs/>
          <w:color w:val="auto"/>
          <w:sz w:val="28"/>
          <w:szCs w:val="28"/>
        </w:rPr>
        <w:t>（五）报价方式。潜在社会资本应该合理考虑项目建设及运营的全部成本、风险，进行项目全生命周期财务测算，并最终形成污水处理服务费单价（即在运营期内，政府方按照特许经营者真实污水处理量计量支付的服务费单价，单位：元/吨）。</w:t>
      </w:r>
    </w:p>
    <w:p>
      <w:pPr>
        <w:spacing w:before="156" w:beforeLines="50" w:after="62" w:afterLines="20" w:line="560" w:lineRule="exact"/>
        <w:ind w:firstLine="562" w:firstLineChars="200"/>
        <w:rPr>
          <w:rFonts w:hint="eastAsia" w:ascii="仿宋黑体" w:hAnsi="Times New Roman" w:eastAsia="仿宋黑体" w:cs="Times New Roman"/>
          <w:b/>
          <w:bCs/>
          <w:color w:val="auto"/>
          <w:sz w:val="28"/>
          <w:szCs w:val="28"/>
        </w:rPr>
      </w:pPr>
      <w:r>
        <w:rPr>
          <w:rFonts w:hint="eastAsia" w:ascii="仿宋黑体" w:hAnsi="Times New Roman" w:eastAsia="仿宋黑体" w:cs="Times New Roman"/>
          <w:b/>
          <w:bCs/>
          <w:color w:val="auto"/>
          <w:sz w:val="28"/>
          <w:szCs w:val="28"/>
        </w:rPr>
        <w:t>四</w:t>
      </w:r>
      <w:r>
        <w:rPr>
          <w:rFonts w:ascii="仿宋黑体" w:hAnsi="Times New Roman" w:eastAsia="仿宋黑体" w:cs="Times New Roman"/>
          <w:b/>
          <w:bCs/>
          <w:color w:val="auto"/>
          <w:sz w:val="28"/>
          <w:szCs w:val="28"/>
        </w:rPr>
        <w:t>、</w:t>
      </w:r>
      <w:r>
        <w:rPr>
          <w:rFonts w:hint="eastAsia" w:ascii="仿宋黑体" w:hAnsi="Times New Roman" w:eastAsia="仿宋黑体" w:cs="Times New Roman"/>
          <w:b/>
          <w:bCs/>
          <w:color w:val="auto"/>
          <w:sz w:val="28"/>
          <w:szCs w:val="28"/>
        </w:rPr>
        <w:t>潜在社会资本提交的投资建设方案主要内容</w:t>
      </w:r>
    </w:p>
    <w:p>
      <w:pPr>
        <w:spacing w:before="156" w:beforeLines="50" w:after="62" w:afterLines="20" w:line="560" w:lineRule="exact"/>
        <w:ind w:firstLine="560" w:firstLineChars="200"/>
        <w:rPr>
          <w:rFonts w:ascii="Times New Roman" w:hAnsi="Times New Roman" w:eastAsia="仿宋" w:cs="Times New Roman"/>
          <w:bCs/>
          <w:color w:val="auto"/>
          <w:sz w:val="28"/>
          <w:szCs w:val="28"/>
        </w:rPr>
      </w:pPr>
      <w:r>
        <w:rPr>
          <w:rFonts w:hint="eastAsia" w:ascii="Times New Roman" w:hAnsi="Times New Roman" w:eastAsia="仿宋" w:cs="Times New Roman"/>
          <w:bCs/>
          <w:color w:val="auto"/>
          <w:sz w:val="28"/>
          <w:szCs w:val="28"/>
        </w:rPr>
        <w:t>各潜在专业社会资本提交的投资建设方案应当包括但不限于以下主要内容：（1）工程建设方案，包括主要建设内容及规模、主要工艺路径；（2）项目投资估算，含投资估算的主要内容构成；（3）运营成本水平及分析，包括项目运营成本构成及污水处理折算运营单价（元/吨）；（4）污水处理服务费单价</w:t>
      </w:r>
      <w:r>
        <w:rPr>
          <w:rFonts w:hint="eastAsia" w:ascii="Times New Roman" w:hAnsi="Times New Roman" w:eastAsia="仿宋" w:cs="Times New Roman"/>
          <w:bCs/>
          <w:color w:val="auto"/>
          <w:sz w:val="28"/>
          <w:szCs w:val="28"/>
          <w:lang w:eastAsia="zh-CN"/>
        </w:rPr>
        <w:t>，</w:t>
      </w:r>
      <w:r>
        <w:rPr>
          <w:rFonts w:hint="eastAsia" w:ascii="Times New Roman" w:hAnsi="Times New Roman" w:eastAsia="仿宋" w:cs="Times New Roman"/>
          <w:bCs/>
          <w:color w:val="auto"/>
          <w:sz w:val="28"/>
          <w:szCs w:val="28"/>
          <w:lang w:eastAsia="zh-CN"/>
        </w:rPr>
        <w:t>报价要充分考虑税费、供水构成、保障机制等要素</w:t>
      </w:r>
      <w:r>
        <w:rPr>
          <w:rFonts w:hint="eastAsia" w:ascii="Times New Roman" w:hAnsi="Times New Roman" w:eastAsia="仿宋" w:cs="Times New Roman"/>
          <w:bCs/>
          <w:color w:val="auto"/>
          <w:sz w:val="28"/>
          <w:szCs w:val="28"/>
        </w:rPr>
        <w:t>（即在运营期内，政府方按照特许经营者真实污水处理量计量支付的服务费单价，单位：元/吨）；（5）项目投资财务分析，即项目投资财务可行性分析（明确企业自身的投资关键控制性财务指标）；（6）其他说明事项（例如光伏配套、中水利用等潜在社会资本需要说明的事项）。</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等线">
    <w:altName w:val="汉仪仿宋S"/>
    <w:panose1 w:val="00000000000000000000"/>
    <w:charset w:val="86"/>
    <w:family w:val="auto"/>
    <w:pitch w:val="default"/>
    <w:sig w:usb0="00000000" w:usb1="00000000" w:usb2="00000000" w:usb3="00000000" w:csb0="00000000" w:csb1="00000000"/>
  </w:font>
  <w:font w:name="等线">
    <w:altName w:val="汉仪仿宋S"/>
    <w:panose1 w:val="00000000000000000000"/>
    <w:charset w:val="00"/>
    <w:family w:val="auto"/>
    <w:pitch w:val="default"/>
    <w:sig w:usb0="00000000" w:usb1="00000000" w:usb2="00000000" w:usb3="00000000" w:csb0="00000000" w:csb1="00000000"/>
  </w:font>
  <w:font w:name="方正小标宋简体">
    <w:panose1 w:val="02000000000000000000"/>
    <w:charset w:val="86"/>
    <w:family w:val="script"/>
    <w:pitch w:val="default"/>
    <w:sig w:usb0="A00002BF" w:usb1="184F6CFA" w:usb2="00000012" w:usb3="00000000" w:csb0="00040001" w:csb1="00000000"/>
  </w:font>
  <w:font w:name="仿宋_GB2312">
    <w:altName w:val="方正仿宋_GBK"/>
    <w:panose1 w:val="02010609030101010101"/>
    <w:charset w:val="86"/>
    <w:family w:val="modern"/>
    <w:pitch w:val="default"/>
    <w:sig w:usb0="00000000" w:usb1="00000000" w:usb2="00000010" w:usb3="00000000" w:csb0="00040000" w:csb1="00000000"/>
  </w:font>
  <w:font w:name="仿宋黑体">
    <w:altName w:val="方正仿宋_GBK"/>
    <w:panose1 w:val="00000000000000000000"/>
    <w:charset w:val="86"/>
    <w:family w:val="roman"/>
    <w:pitch w:val="default"/>
    <w:sig w:usb0="00000000" w:usb1="00000000" w:usb2="00000000" w:usb3="00000000" w:csb0="00000000" w:csb1="00000000"/>
  </w:font>
  <w:font w:name="仿宋">
    <w:altName w:val="方正仿宋_GBK"/>
    <w:panose1 w:val="02010609060101010101"/>
    <w:charset w:val="86"/>
    <w:family w:val="modern"/>
    <w:pitch w:val="default"/>
    <w:sig w:usb0="00000000" w:usb1="00000000" w:usb2="00000016" w:usb3="00000000" w:csb0="00040001" w:csb1="00000000"/>
  </w:font>
  <w:font w:name="汉仪仿宋S">
    <w:panose1 w:val="00020600040101000101"/>
    <w:charset w:val="86"/>
    <w:family w:val="auto"/>
    <w:pitch w:val="default"/>
    <w:sig w:usb0="A00002BF" w:usb1="38CF7CFA" w:usb2="00000016" w:usb3="00000000" w:csb0="0004009F"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方正仿宋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7865481"/>
    </w:sdtPr>
    <w:sdtContent>
      <w:p>
        <w:pPr>
          <w:pStyle w:val="3"/>
          <w:jc w:val="center"/>
          <w:rPr>
            <w:rFonts w:hint="eastAsia"/>
          </w:rPr>
        </w:pPr>
        <w:r>
          <w:fldChar w:fldCharType="begin"/>
        </w:r>
        <w:r>
          <w:instrText xml:space="preserve">PAGE   \* MERGEFORMAT</w:instrText>
        </w:r>
        <w:r>
          <w:fldChar w:fldCharType="separate"/>
        </w:r>
        <w:r>
          <w:rPr>
            <w:lang w:val="zh-CN"/>
          </w:rPr>
          <w:t>1</w:t>
        </w:r>
        <w:r>
          <w:fldChar w:fldCharType="end"/>
        </w:r>
      </w:p>
    </w:sdtContent>
  </w:sdt>
  <w:p>
    <w:pPr>
      <w:pStyle w:val="3"/>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FiMjg0NTU1NDk0YzZlZjhhYWM0NjJmNGUxZmQ3NzAifQ=="/>
  </w:docVars>
  <w:rsids>
    <w:rsidRoot w:val="00523269"/>
    <w:rsid w:val="0008306A"/>
    <w:rsid w:val="000A611D"/>
    <w:rsid w:val="000A78A2"/>
    <w:rsid w:val="000C32E4"/>
    <w:rsid w:val="000F43BA"/>
    <w:rsid w:val="00105237"/>
    <w:rsid w:val="00155905"/>
    <w:rsid w:val="00156296"/>
    <w:rsid w:val="00160B78"/>
    <w:rsid w:val="0016582B"/>
    <w:rsid w:val="00165A59"/>
    <w:rsid w:val="001A1235"/>
    <w:rsid w:val="001E1C3D"/>
    <w:rsid w:val="001E3FA6"/>
    <w:rsid w:val="001F1775"/>
    <w:rsid w:val="00217063"/>
    <w:rsid w:val="00227CD2"/>
    <w:rsid w:val="002434D2"/>
    <w:rsid w:val="0025165E"/>
    <w:rsid w:val="00293C6E"/>
    <w:rsid w:val="002D06D0"/>
    <w:rsid w:val="002F08B8"/>
    <w:rsid w:val="00302356"/>
    <w:rsid w:val="00307CF8"/>
    <w:rsid w:val="00322B0C"/>
    <w:rsid w:val="00346483"/>
    <w:rsid w:val="0036584B"/>
    <w:rsid w:val="003B0B56"/>
    <w:rsid w:val="003E73A8"/>
    <w:rsid w:val="003F3DFA"/>
    <w:rsid w:val="00416E0A"/>
    <w:rsid w:val="004222CE"/>
    <w:rsid w:val="004D4C49"/>
    <w:rsid w:val="004F5FDB"/>
    <w:rsid w:val="00523269"/>
    <w:rsid w:val="00547A5A"/>
    <w:rsid w:val="00585111"/>
    <w:rsid w:val="00596353"/>
    <w:rsid w:val="00613EFF"/>
    <w:rsid w:val="00626C2D"/>
    <w:rsid w:val="00686D10"/>
    <w:rsid w:val="006B7B17"/>
    <w:rsid w:val="006E1374"/>
    <w:rsid w:val="006E6967"/>
    <w:rsid w:val="007318E3"/>
    <w:rsid w:val="00824ECA"/>
    <w:rsid w:val="00826D4A"/>
    <w:rsid w:val="00835C2F"/>
    <w:rsid w:val="00845EF7"/>
    <w:rsid w:val="00846633"/>
    <w:rsid w:val="008A2DC6"/>
    <w:rsid w:val="008B0E42"/>
    <w:rsid w:val="008C12F1"/>
    <w:rsid w:val="008F681E"/>
    <w:rsid w:val="00905AF0"/>
    <w:rsid w:val="00913E61"/>
    <w:rsid w:val="00930F86"/>
    <w:rsid w:val="00943BB2"/>
    <w:rsid w:val="0098534F"/>
    <w:rsid w:val="009D6DDD"/>
    <w:rsid w:val="009E46F6"/>
    <w:rsid w:val="009F5828"/>
    <w:rsid w:val="00A031FF"/>
    <w:rsid w:val="00A231CA"/>
    <w:rsid w:val="00A53209"/>
    <w:rsid w:val="00A53997"/>
    <w:rsid w:val="00A87AE3"/>
    <w:rsid w:val="00A90470"/>
    <w:rsid w:val="00AB70A9"/>
    <w:rsid w:val="00AF0E6F"/>
    <w:rsid w:val="00AF4C3C"/>
    <w:rsid w:val="00AF66BF"/>
    <w:rsid w:val="00B35346"/>
    <w:rsid w:val="00B644C9"/>
    <w:rsid w:val="00B9296F"/>
    <w:rsid w:val="00BB1057"/>
    <w:rsid w:val="00BB32AF"/>
    <w:rsid w:val="00BB7125"/>
    <w:rsid w:val="00BC558F"/>
    <w:rsid w:val="00BE4DAD"/>
    <w:rsid w:val="00C13146"/>
    <w:rsid w:val="00C82354"/>
    <w:rsid w:val="00CB0459"/>
    <w:rsid w:val="00CC0CAB"/>
    <w:rsid w:val="00CF3AB6"/>
    <w:rsid w:val="00D0681B"/>
    <w:rsid w:val="00D11E06"/>
    <w:rsid w:val="00D36239"/>
    <w:rsid w:val="00D36640"/>
    <w:rsid w:val="00D4234F"/>
    <w:rsid w:val="00D440C0"/>
    <w:rsid w:val="00D84F3A"/>
    <w:rsid w:val="00DA2B20"/>
    <w:rsid w:val="00DB2FB4"/>
    <w:rsid w:val="00DF6032"/>
    <w:rsid w:val="00E03852"/>
    <w:rsid w:val="00E21976"/>
    <w:rsid w:val="00E4734D"/>
    <w:rsid w:val="00E52B0B"/>
    <w:rsid w:val="00E72C55"/>
    <w:rsid w:val="00EB5003"/>
    <w:rsid w:val="00EC477E"/>
    <w:rsid w:val="00ED072E"/>
    <w:rsid w:val="00ED07B9"/>
    <w:rsid w:val="00F15E52"/>
    <w:rsid w:val="00F723CB"/>
    <w:rsid w:val="00F7792C"/>
    <w:rsid w:val="00F87F9F"/>
    <w:rsid w:val="00FC206D"/>
    <w:rsid w:val="00FD2E4B"/>
    <w:rsid w:val="00FE1E5D"/>
    <w:rsid w:val="015B3238"/>
    <w:rsid w:val="02A209F3"/>
    <w:rsid w:val="06A26ADE"/>
    <w:rsid w:val="07594B2B"/>
    <w:rsid w:val="07C5765D"/>
    <w:rsid w:val="082459F2"/>
    <w:rsid w:val="08713341"/>
    <w:rsid w:val="08C6368D"/>
    <w:rsid w:val="0AD61B81"/>
    <w:rsid w:val="0AFD710E"/>
    <w:rsid w:val="0CA37841"/>
    <w:rsid w:val="0CB952B6"/>
    <w:rsid w:val="0D0A78C0"/>
    <w:rsid w:val="0E6574A4"/>
    <w:rsid w:val="0F515C7A"/>
    <w:rsid w:val="10264A11"/>
    <w:rsid w:val="103B2AF6"/>
    <w:rsid w:val="11641C95"/>
    <w:rsid w:val="11EA6C0C"/>
    <w:rsid w:val="125C0BBE"/>
    <w:rsid w:val="135342BC"/>
    <w:rsid w:val="139A199E"/>
    <w:rsid w:val="14CA0061"/>
    <w:rsid w:val="15A85F08"/>
    <w:rsid w:val="169721C5"/>
    <w:rsid w:val="16B0772A"/>
    <w:rsid w:val="172D0D7B"/>
    <w:rsid w:val="1776002C"/>
    <w:rsid w:val="17C27715"/>
    <w:rsid w:val="194505FE"/>
    <w:rsid w:val="19EC7FEC"/>
    <w:rsid w:val="1A541C65"/>
    <w:rsid w:val="1A623838"/>
    <w:rsid w:val="1A66082C"/>
    <w:rsid w:val="1BA6544E"/>
    <w:rsid w:val="1BF73705"/>
    <w:rsid w:val="1C4F52EF"/>
    <w:rsid w:val="1C784846"/>
    <w:rsid w:val="1DEC41B0"/>
    <w:rsid w:val="217A696B"/>
    <w:rsid w:val="24B86128"/>
    <w:rsid w:val="24C91B93"/>
    <w:rsid w:val="25331C52"/>
    <w:rsid w:val="25956469"/>
    <w:rsid w:val="25F631FD"/>
    <w:rsid w:val="263C0693"/>
    <w:rsid w:val="26AA41ED"/>
    <w:rsid w:val="286B34B1"/>
    <w:rsid w:val="29DF7CB3"/>
    <w:rsid w:val="2A497822"/>
    <w:rsid w:val="2A816FBC"/>
    <w:rsid w:val="2B7E34FB"/>
    <w:rsid w:val="2B8163FE"/>
    <w:rsid w:val="2BF65788"/>
    <w:rsid w:val="2C6E17C2"/>
    <w:rsid w:val="2C901738"/>
    <w:rsid w:val="2CAD22EA"/>
    <w:rsid w:val="2DF16206"/>
    <w:rsid w:val="2E385BE3"/>
    <w:rsid w:val="2EED6C17"/>
    <w:rsid w:val="2FB4573E"/>
    <w:rsid w:val="306D5F1B"/>
    <w:rsid w:val="309612E7"/>
    <w:rsid w:val="30E06BCF"/>
    <w:rsid w:val="311E5564"/>
    <w:rsid w:val="317E6E7E"/>
    <w:rsid w:val="319C292D"/>
    <w:rsid w:val="31A33CBC"/>
    <w:rsid w:val="31E71DFA"/>
    <w:rsid w:val="32285A8A"/>
    <w:rsid w:val="325925CC"/>
    <w:rsid w:val="34227131"/>
    <w:rsid w:val="344A041F"/>
    <w:rsid w:val="361C403D"/>
    <w:rsid w:val="38AD5420"/>
    <w:rsid w:val="38B86D12"/>
    <w:rsid w:val="38E76B84"/>
    <w:rsid w:val="39186D3D"/>
    <w:rsid w:val="3AFA0DF0"/>
    <w:rsid w:val="3C0812EB"/>
    <w:rsid w:val="3C6B3628"/>
    <w:rsid w:val="3CA37266"/>
    <w:rsid w:val="3D3309A0"/>
    <w:rsid w:val="3D7309E6"/>
    <w:rsid w:val="3E432AAE"/>
    <w:rsid w:val="3EBD6A03"/>
    <w:rsid w:val="3F277CDA"/>
    <w:rsid w:val="3F3423F7"/>
    <w:rsid w:val="40135628"/>
    <w:rsid w:val="419B050B"/>
    <w:rsid w:val="42DD6902"/>
    <w:rsid w:val="43081BD1"/>
    <w:rsid w:val="433867D7"/>
    <w:rsid w:val="442C18EF"/>
    <w:rsid w:val="466F1F67"/>
    <w:rsid w:val="467B090B"/>
    <w:rsid w:val="469B4F26"/>
    <w:rsid w:val="46CB53EF"/>
    <w:rsid w:val="473E2065"/>
    <w:rsid w:val="48741AB6"/>
    <w:rsid w:val="48D013E2"/>
    <w:rsid w:val="49317D95"/>
    <w:rsid w:val="4A361719"/>
    <w:rsid w:val="4B6463B2"/>
    <w:rsid w:val="4C017B05"/>
    <w:rsid w:val="4CB132D9"/>
    <w:rsid w:val="4CD61C5D"/>
    <w:rsid w:val="4E4517F3"/>
    <w:rsid w:val="4F784A62"/>
    <w:rsid w:val="4FA64C4B"/>
    <w:rsid w:val="50212524"/>
    <w:rsid w:val="50306C0B"/>
    <w:rsid w:val="51256043"/>
    <w:rsid w:val="51954F77"/>
    <w:rsid w:val="52320A18"/>
    <w:rsid w:val="54D06F8D"/>
    <w:rsid w:val="55050666"/>
    <w:rsid w:val="550D3076"/>
    <w:rsid w:val="55B33C1E"/>
    <w:rsid w:val="56130B60"/>
    <w:rsid w:val="56DF6C95"/>
    <w:rsid w:val="575C02E5"/>
    <w:rsid w:val="57EF1159"/>
    <w:rsid w:val="57EF6043"/>
    <w:rsid w:val="58F24A5D"/>
    <w:rsid w:val="59F3349A"/>
    <w:rsid w:val="59F82547"/>
    <w:rsid w:val="5A8913F1"/>
    <w:rsid w:val="5BD42B40"/>
    <w:rsid w:val="5BF50BDE"/>
    <w:rsid w:val="5C6914DA"/>
    <w:rsid w:val="5D8B722E"/>
    <w:rsid w:val="5F2E2567"/>
    <w:rsid w:val="5FD17AC2"/>
    <w:rsid w:val="612956DC"/>
    <w:rsid w:val="61907509"/>
    <w:rsid w:val="61A3723C"/>
    <w:rsid w:val="62693F7C"/>
    <w:rsid w:val="62EE45F6"/>
    <w:rsid w:val="634E2F89"/>
    <w:rsid w:val="636C7B02"/>
    <w:rsid w:val="650224CC"/>
    <w:rsid w:val="65562818"/>
    <w:rsid w:val="657C227E"/>
    <w:rsid w:val="657D1217"/>
    <w:rsid w:val="660F30F2"/>
    <w:rsid w:val="662B5A52"/>
    <w:rsid w:val="66552ACF"/>
    <w:rsid w:val="67191D4F"/>
    <w:rsid w:val="686F60CA"/>
    <w:rsid w:val="688E2799"/>
    <w:rsid w:val="68A223F7"/>
    <w:rsid w:val="6A38073E"/>
    <w:rsid w:val="6B1716A8"/>
    <w:rsid w:val="6B5A3C18"/>
    <w:rsid w:val="6BBF2EC5"/>
    <w:rsid w:val="6C643A6C"/>
    <w:rsid w:val="6D527D69"/>
    <w:rsid w:val="6DE22E9A"/>
    <w:rsid w:val="6E81634E"/>
    <w:rsid w:val="6EB55264"/>
    <w:rsid w:val="6F03756C"/>
    <w:rsid w:val="6FF6957E"/>
    <w:rsid w:val="704E4817"/>
    <w:rsid w:val="71F154B8"/>
    <w:rsid w:val="72FA591B"/>
    <w:rsid w:val="733A72D5"/>
    <w:rsid w:val="74784559"/>
    <w:rsid w:val="75022074"/>
    <w:rsid w:val="753A180E"/>
    <w:rsid w:val="76D11CFE"/>
    <w:rsid w:val="77446974"/>
    <w:rsid w:val="79554E68"/>
    <w:rsid w:val="7AB91AD5"/>
    <w:rsid w:val="7BAC2D3A"/>
    <w:rsid w:val="7BB10350"/>
    <w:rsid w:val="7CF76237"/>
    <w:rsid w:val="7D341239"/>
    <w:rsid w:val="7D3D633F"/>
    <w:rsid w:val="7E173AE1"/>
    <w:rsid w:val="7EE60311"/>
    <w:rsid w:val="7F8A15E4"/>
    <w:rsid w:val="FBFB76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批注框文本 字符"/>
    <w:basedOn w:val="7"/>
    <w:link w:val="2"/>
    <w:semiHidden/>
    <w:qFormat/>
    <w:uiPriority w:val="99"/>
    <w:rPr>
      <w:sz w:val="18"/>
      <w:szCs w:val="18"/>
    </w:rPr>
  </w:style>
  <w:style w:type="character" w:customStyle="1" w:styleId="9">
    <w:name w:val="页眉 字符"/>
    <w:basedOn w:val="7"/>
    <w:link w:val="4"/>
    <w:qFormat/>
    <w:uiPriority w:val="99"/>
    <w:rPr>
      <w:kern w:val="2"/>
      <w:sz w:val="18"/>
      <w:szCs w:val="18"/>
    </w:rPr>
  </w:style>
  <w:style w:type="character" w:customStyle="1" w:styleId="10">
    <w:name w:val="页脚 字符"/>
    <w:basedOn w:val="7"/>
    <w:link w:val="3"/>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chart" Target="charts/chart2.xml"/><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shit&#27809;&#24178;&#23436;&#30340;\&#20147;&#24030;\&#20147;&#24030;&#24066;&#27745;&#27700;&#22788;&#29702;&#21378;&#19977;&#26399;&#21450;&#37197;&#22871;&#31649;&#32593;&#24037;&#31243;\7&#21487;&#30740;\&#21435;&#24180;&#25630;&#20102;&#20010;&#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shit&#27809;&#24178;&#23436;&#30340;\&#20147;&#24030;\&#20147;&#24030;&#24066;&#27745;&#27700;&#22788;&#29702;&#21378;&#19977;&#26399;&#21450;&#37197;&#22871;&#31649;&#32593;&#24037;&#31243;\7&#21487;&#30740;\&#21435;&#24180;&#25630;&#20102;&#2001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true"/>
          <a:lstStyle/>
          <a:p>
            <a:pPr>
              <a:defRPr lang="zh-CN" sz="1400" b="0" i="0" u="none" strike="noStrike" kern="1200" spc="0" baseline="0">
                <a:solidFill>
                  <a:schemeClr val="tx1">
                    <a:lumMod val="65000"/>
                    <a:lumOff val="35000"/>
                  </a:schemeClr>
                </a:solidFill>
                <a:latin typeface="Times New Roman" charset="0"/>
                <a:ea typeface="+mn-ea"/>
                <a:cs typeface="Times New Roman" charset="0"/>
              </a:defRPr>
            </a:pPr>
            <a:r>
              <a:rPr lang="en-US" altLang="zh-CN">
                <a:latin typeface="Times New Roman" charset="0"/>
                <a:cs typeface="Times New Roman" charset="0"/>
              </a:rPr>
              <a:t>COD</a:t>
            </a:r>
            <a:r>
              <a:rPr lang="en-US" altLang="zh-CN" baseline="-25000">
                <a:latin typeface="Times New Roman" charset="0"/>
                <a:cs typeface="Times New Roman" charset="0"/>
              </a:rPr>
              <a:t>Cr</a:t>
            </a:r>
            <a:endParaRPr lang="zh-CN" altLang="en-US" baseline="-25000">
              <a:latin typeface="Times New Roman" charset="0"/>
              <a:cs typeface="Times New Roman" charset="0"/>
            </a:endParaRPr>
          </a:p>
        </c:rich>
      </c:tx>
      <c:layout/>
      <c:overlay val="false"/>
      <c:spPr>
        <a:noFill/>
        <a:ln>
          <a:noFill/>
        </a:ln>
        <a:effectLst/>
      </c:spPr>
    </c:title>
    <c:autoTitleDeleted val="false"/>
    <c:plotArea>
      <c:layout/>
      <c:scatterChart>
        <c:scatterStyle val="lineMarker"/>
        <c:varyColors val="false"/>
        <c:ser>
          <c:idx val="1"/>
          <c:order val="0"/>
          <c:tx>
            <c:strRef>
              <c:f>进水浓度</c:f>
              <c:strCache>
                <c:ptCount val="1"/>
                <c:pt idx="0">
                  <c:v>进水浓度</c:v>
                </c:pt>
              </c:strCache>
            </c:strRef>
          </c:tx>
          <c:spPr>
            <a:ln w="0" cap="rnd">
              <a:solidFill>
                <a:srgbClr val="FF0000"/>
              </a:solidFill>
              <a:round/>
            </a:ln>
            <a:effectLst/>
          </c:spPr>
          <c:marker>
            <c:symbol val="square"/>
            <c:size val="7"/>
            <c:spPr>
              <a:solidFill>
                <a:srgbClr val="FF0000"/>
              </a:solidFill>
              <a:ln w="0">
                <a:solidFill>
                  <a:srgbClr val="FF0000"/>
                </a:solidFill>
              </a:ln>
              <a:effectLst/>
            </c:spPr>
          </c:marker>
          <c:dLbls>
            <c:delete val="true"/>
          </c:dLbls>
          <c:xVal>
            <c:numRef>
              <c:f>现状描述月均进出水!$A$3:$A$38</c:f>
              <c:numCache>
                <c:formatCode>yyyy"年"m"月";@</c:formatCode>
                <c:ptCount val="36"/>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pt idx="12">
                  <c:v>44927</c:v>
                </c:pt>
                <c:pt idx="13">
                  <c:v>44958</c:v>
                </c:pt>
                <c:pt idx="14">
                  <c:v>44986</c:v>
                </c:pt>
                <c:pt idx="15">
                  <c:v>45017</c:v>
                </c:pt>
                <c:pt idx="16">
                  <c:v>45047</c:v>
                </c:pt>
                <c:pt idx="17">
                  <c:v>45078</c:v>
                </c:pt>
                <c:pt idx="18">
                  <c:v>45108</c:v>
                </c:pt>
                <c:pt idx="19">
                  <c:v>45139</c:v>
                </c:pt>
                <c:pt idx="20">
                  <c:v>45170</c:v>
                </c:pt>
                <c:pt idx="21">
                  <c:v>45200</c:v>
                </c:pt>
                <c:pt idx="22">
                  <c:v>45231</c:v>
                </c:pt>
                <c:pt idx="23">
                  <c:v>45261</c:v>
                </c:pt>
                <c:pt idx="24">
                  <c:v>45292</c:v>
                </c:pt>
                <c:pt idx="25">
                  <c:v>45323</c:v>
                </c:pt>
                <c:pt idx="26">
                  <c:v>45352</c:v>
                </c:pt>
                <c:pt idx="27">
                  <c:v>45383</c:v>
                </c:pt>
                <c:pt idx="28">
                  <c:v>45413</c:v>
                </c:pt>
                <c:pt idx="29">
                  <c:v>45444</c:v>
                </c:pt>
                <c:pt idx="30">
                  <c:v>45474</c:v>
                </c:pt>
                <c:pt idx="31">
                  <c:v>45505</c:v>
                </c:pt>
                <c:pt idx="32">
                  <c:v>45536</c:v>
                </c:pt>
                <c:pt idx="33">
                  <c:v>45566</c:v>
                </c:pt>
                <c:pt idx="34">
                  <c:v>45597</c:v>
                </c:pt>
                <c:pt idx="35">
                  <c:v>45627</c:v>
                </c:pt>
              </c:numCache>
            </c:numRef>
          </c:xVal>
          <c:yVal>
            <c:numRef>
              <c:f>现状描述月均进出水!$C$3:$C$38</c:f>
              <c:numCache>
                <c:formatCode>0.0_ </c:formatCode>
                <c:ptCount val="36"/>
                <c:pt idx="0">
                  <c:v>231.613225806452</c:v>
                </c:pt>
                <c:pt idx="1">
                  <c:v>296.541071428571</c:v>
                </c:pt>
                <c:pt idx="2">
                  <c:v>340.03935483871</c:v>
                </c:pt>
                <c:pt idx="3">
                  <c:v>270.462333333333</c:v>
                </c:pt>
                <c:pt idx="4">
                  <c:v>257.465483870968</c:v>
                </c:pt>
                <c:pt idx="5">
                  <c:v>241.201</c:v>
                </c:pt>
                <c:pt idx="6">
                  <c:v>129.976129032258</c:v>
                </c:pt>
                <c:pt idx="7">
                  <c:v>166.210322580645</c:v>
                </c:pt>
                <c:pt idx="8">
                  <c:v>187.811666666667</c:v>
                </c:pt>
                <c:pt idx="9">
                  <c:v>184.273870967742</c:v>
                </c:pt>
                <c:pt idx="10">
                  <c:v>177.230666666667</c:v>
                </c:pt>
                <c:pt idx="11">
                  <c:v>202.348709677419</c:v>
                </c:pt>
                <c:pt idx="12">
                  <c:v>207.333548387097</c:v>
                </c:pt>
                <c:pt idx="13">
                  <c:v>219.21744047619</c:v>
                </c:pt>
                <c:pt idx="14">
                  <c:v>203.189677419355</c:v>
                </c:pt>
                <c:pt idx="15">
                  <c:v>192.249333333333</c:v>
                </c:pt>
                <c:pt idx="16">
                  <c:v>166.047096774194</c:v>
                </c:pt>
                <c:pt idx="17">
                  <c:v>220.653333333333</c:v>
                </c:pt>
                <c:pt idx="18">
                  <c:v>172.362580645161</c:v>
                </c:pt>
                <c:pt idx="19">
                  <c:v>190.532225806452</c:v>
                </c:pt>
                <c:pt idx="20">
                  <c:v>211.735666666667</c:v>
                </c:pt>
                <c:pt idx="21">
                  <c:v>163.649677419355</c:v>
                </c:pt>
                <c:pt idx="22">
                  <c:v>188.129333333333</c:v>
                </c:pt>
                <c:pt idx="23">
                  <c:v>154.732903225806</c:v>
                </c:pt>
                <c:pt idx="24" c:formatCode="0.00_ ">
                  <c:v>185.164516129032</c:v>
                </c:pt>
                <c:pt idx="25" c:formatCode="0.00_ ">
                  <c:v>173.373103448276</c:v>
                </c:pt>
                <c:pt idx="26" c:formatCode="0.00_ ">
                  <c:v>214.397741935484</c:v>
                </c:pt>
                <c:pt idx="27" c:formatCode="0.00_ ">
                  <c:v>194.468</c:v>
                </c:pt>
                <c:pt idx="28" c:formatCode="0.00_ ">
                  <c:v>170.845806451613</c:v>
                </c:pt>
                <c:pt idx="29" c:formatCode="0.00_ ">
                  <c:v>165.836666666667</c:v>
                </c:pt>
                <c:pt idx="30" c:formatCode="0.00_ ">
                  <c:v>96.8412903225806</c:v>
                </c:pt>
                <c:pt idx="31" c:formatCode="0.00_ ">
                  <c:v>102.867096774194</c:v>
                </c:pt>
                <c:pt idx="32" c:formatCode="0.00_ ">
                  <c:v>124.573</c:v>
                </c:pt>
                <c:pt idx="33" c:formatCode="0.00_ ">
                  <c:v>131.61</c:v>
                </c:pt>
                <c:pt idx="34" c:formatCode="0.00_ ">
                  <c:v>107.072333333333</c:v>
                </c:pt>
                <c:pt idx="35" c:formatCode="0.00_ ">
                  <c:v>111.384516129032</c:v>
                </c:pt>
              </c:numCache>
            </c:numRef>
          </c:yVal>
          <c:smooth val="false"/>
        </c:ser>
        <c:dLbls>
          <c:showLegendKey val="false"/>
          <c:showVal val="false"/>
          <c:showCatName val="false"/>
          <c:showSerName val="false"/>
          <c:showPercent val="false"/>
          <c:showBubbleSize val="false"/>
        </c:dLbls>
        <c:axId val="1891235952"/>
        <c:axId val="1891246288"/>
      </c:scatterChart>
      <c:scatterChart>
        <c:scatterStyle val="lineMarker"/>
        <c:varyColors val="false"/>
        <c:ser>
          <c:idx val="0"/>
          <c:order val="1"/>
          <c:tx>
            <c:strRef>
              <c:f>出水浓度</c:f>
              <c:strCache>
                <c:ptCount val="1"/>
                <c:pt idx="0">
                  <c:v>出水浓度</c:v>
                </c:pt>
              </c:strCache>
            </c:strRef>
          </c:tx>
          <c:spPr>
            <a:ln w="0" cap="rnd">
              <a:solidFill>
                <a:srgbClr val="FF0000"/>
              </a:solidFill>
              <a:round/>
            </a:ln>
            <a:effectLst/>
          </c:spPr>
          <c:marker>
            <c:symbol val="diamond"/>
            <c:size val="7"/>
            <c:spPr>
              <a:solidFill>
                <a:srgbClr val="FF0000"/>
              </a:solidFill>
              <a:ln w="0">
                <a:solidFill>
                  <a:srgbClr val="FF0000"/>
                </a:solidFill>
              </a:ln>
              <a:effectLst/>
            </c:spPr>
          </c:marker>
          <c:dLbls>
            <c:delete val="true"/>
          </c:dLbls>
          <c:xVal>
            <c:numRef>
              <c:f>现状描述月均进出水!$A$3:$A$38</c:f>
              <c:numCache>
                <c:formatCode>yyyy"年"m"月";@</c:formatCode>
                <c:ptCount val="36"/>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pt idx="12">
                  <c:v>44927</c:v>
                </c:pt>
                <c:pt idx="13">
                  <c:v>44958</c:v>
                </c:pt>
                <c:pt idx="14">
                  <c:v>44986</c:v>
                </c:pt>
                <c:pt idx="15">
                  <c:v>45017</c:v>
                </c:pt>
                <c:pt idx="16">
                  <c:v>45047</c:v>
                </c:pt>
                <c:pt idx="17">
                  <c:v>45078</c:v>
                </c:pt>
                <c:pt idx="18">
                  <c:v>45108</c:v>
                </c:pt>
                <c:pt idx="19">
                  <c:v>45139</c:v>
                </c:pt>
                <c:pt idx="20">
                  <c:v>45170</c:v>
                </c:pt>
                <c:pt idx="21">
                  <c:v>45200</c:v>
                </c:pt>
                <c:pt idx="22">
                  <c:v>45231</c:v>
                </c:pt>
                <c:pt idx="23">
                  <c:v>45261</c:v>
                </c:pt>
                <c:pt idx="24">
                  <c:v>45292</c:v>
                </c:pt>
                <c:pt idx="25">
                  <c:v>45323</c:v>
                </c:pt>
                <c:pt idx="26">
                  <c:v>45352</c:v>
                </c:pt>
                <c:pt idx="27">
                  <c:v>45383</c:v>
                </c:pt>
                <c:pt idx="28">
                  <c:v>45413</c:v>
                </c:pt>
                <c:pt idx="29">
                  <c:v>45444</c:v>
                </c:pt>
                <c:pt idx="30">
                  <c:v>45474</c:v>
                </c:pt>
                <c:pt idx="31">
                  <c:v>45505</c:v>
                </c:pt>
                <c:pt idx="32">
                  <c:v>45536</c:v>
                </c:pt>
                <c:pt idx="33">
                  <c:v>45566</c:v>
                </c:pt>
                <c:pt idx="34">
                  <c:v>45597</c:v>
                </c:pt>
                <c:pt idx="35">
                  <c:v>45627</c:v>
                </c:pt>
              </c:numCache>
            </c:numRef>
          </c:xVal>
          <c:yVal>
            <c:numRef>
              <c:f>现状描述月均进出水!$I$3:$I$38</c:f>
              <c:numCache>
                <c:formatCode>0.0_ </c:formatCode>
                <c:ptCount val="36"/>
                <c:pt idx="0">
                  <c:v>12.117028673247</c:v>
                </c:pt>
                <c:pt idx="1">
                  <c:v>14.0461067061481</c:v>
                </c:pt>
                <c:pt idx="2">
                  <c:v>17.6385957083967</c:v>
                </c:pt>
                <c:pt idx="3">
                  <c:v>18.0762869431259</c:v>
                </c:pt>
                <c:pt idx="4">
                  <c:v>17.1667174321112</c:v>
                </c:pt>
                <c:pt idx="5">
                  <c:v>14.7378326511536</c:v>
                </c:pt>
                <c:pt idx="6">
                  <c:v>13.7642732556622</c:v>
                </c:pt>
                <c:pt idx="7">
                  <c:v>8.7022005093078</c:v>
                </c:pt>
                <c:pt idx="8">
                  <c:v>11.9487167662028</c:v>
                </c:pt>
                <c:pt idx="9">
                  <c:v>9.97951037666749</c:v>
                </c:pt>
                <c:pt idx="10">
                  <c:v>9.55328751593268</c:v>
                </c:pt>
                <c:pt idx="11">
                  <c:v>9.85515533261402</c:v>
                </c:pt>
                <c:pt idx="12">
                  <c:v>11.2382922817899</c:v>
                </c:pt>
                <c:pt idx="13">
                  <c:v>13.0664809590316</c:v>
                </c:pt>
                <c:pt idx="14">
                  <c:v>16.3316207741666</c:v>
                </c:pt>
                <c:pt idx="15">
                  <c:v>15.4199811445383</c:v>
                </c:pt>
                <c:pt idx="16">
                  <c:v>14.1941178171057</c:v>
                </c:pt>
                <c:pt idx="17">
                  <c:v>13.677922520018</c:v>
                </c:pt>
                <c:pt idx="18">
                  <c:v>11.3089683673094</c:v>
                </c:pt>
                <c:pt idx="19">
                  <c:v>16.4145518226024</c:v>
                </c:pt>
                <c:pt idx="20">
                  <c:v>8.70210564187042</c:v>
                </c:pt>
                <c:pt idx="21">
                  <c:v>8.52859419379577</c:v>
                </c:pt>
                <c:pt idx="22">
                  <c:v>8.76106560417933</c:v>
                </c:pt>
                <c:pt idx="23">
                  <c:v>9.32882194793944</c:v>
                </c:pt>
                <c:pt idx="24">
                  <c:v>8.97642711638616</c:v>
                </c:pt>
                <c:pt idx="25">
                  <c:v>9.40189866666768</c:v>
                </c:pt>
                <c:pt idx="26">
                  <c:v>11.1203976192269</c:v>
                </c:pt>
                <c:pt idx="27">
                  <c:v>10.2936580580931</c:v>
                </c:pt>
                <c:pt idx="28">
                  <c:v>11.4064516129032</c:v>
                </c:pt>
                <c:pt idx="29">
                  <c:v>10.4417549558582</c:v>
                </c:pt>
                <c:pt idx="30">
                  <c:v>6.63088792720235</c:v>
                </c:pt>
                <c:pt idx="31">
                  <c:v>7.62487186243063</c:v>
                </c:pt>
                <c:pt idx="32">
                  <c:v>6.7208125371719</c:v>
                </c:pt>
                <c:pt idx="33">
                  <c:v>7.58872332408188</c:v>
                </c:pt>
                <c:pt idx="34">
                  <c:v>9.39001462353425</c:v>
                </c:pt>
                <c:pt idx="35">
                  <c:v>9.02790166415292</c:v>
                </c:pt>
              </c:numCache>
            </c:numRef>
          </c:yVal>
          <c:smooth val="false"/>
        </c:ser>
        <c:dLbls>
          <c:showLegendKey val="false"/>
          <c:showVal val="false"/>
          <c:showCatName val="false"/>
          <c:showSerName val="false"/>
          <c:showPercent val="false"/>
          <c:showBubbleSize val="false"/>
        </c:dLbls>
        <c:axId val="1891236496"/>
        <c:axId val="1891246832"/>
      </c:scatterChart>
      <c:valAx>
        <c:axId val="1891235952"/>
        <c:scaling>
          <c:orientation val="minMax"/>
          <c:max val="45628"/>
          <c:min val="44562"/>
        </c:scaling>
        <c:delete val="false"/>
        <c:axPos val="b"/>
        <c:majorGridlines>
          <c:spPr>
            <a:ln w="9525" cap="flat" cmpd="sng" algn="ctr">
              <a:solidFill>
                <a:schemeClr val="tx1">
                  <a:lumMod val="15000"/>
                  <a:lumOff val="85000"/>
                </a:schemeClr>
              </a:solidFill>
              <a:round/>
            </a:ln>
            <a:effectLst/>
          </c:spPr>
        </c:majorGridlines>
        <c:numFmt formatCode="yyyy&quot;年&quot;m&quot;月&quot;;@" sourceLinked="tru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true"/>
          <a:lstStyle/>
          <a:p>
            <a:pPr algn="ctr">
              <a:defRPr lang="zh-CN" altLang="en-US" sz="900" b="0" i="0" u="none" strike="noStrike" kern="1200" baseline="0">
                <a:solidFill>
                  <a:schemeClr val="tx1">
                    <a:lumMod val="65000"/>
                    <a:lumOff val="35000"/>
                  </a:schemeClr>
                </a:solidFill>
                <a:latin typeface="Times New Roman" charset="0"/>
                <a:ea typeface="仿宋_GB2312" panose="02010609030101010101" pitchFamily="3" charset="-122"/>
                <a:cs typeface="Times New Roman" charset="0"/>
              </a:defRPr>
            </a:pPr>
          </a:p>
        </c:txPr>
        <c:crossAx val="1891246288"/>
        <c:crosses val="autoZero"/>
        <c:crossBetween val="midCat"/>
        <c:majorUnit val="213"/>
        <c:minorUnit val="30"/>
      </c:valAx>
      <c:valAx>
        <c:axId val="1891246288"/>
        <c:scaling>
          <c:orientation val="minMax"/>
          <c:max val="350"/>
          <c:min val="0"/>
        </c:scaling>
        <c:delete val="false"/>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true"/>
              <a:lstStyle/>
              <a:p>
                <a:pPr>
                  <a:defRPr lang="zh-CN" sz="10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r>
                  <a:rPr lang="zh-CN" altLang="en-US">
                    <a:latin typeface="Times New Roman" charset="0"/>
                    <a:ea typeface="仿宋_GB2312" panose="02010609030101010101" pitchFamily="3" charset="-122"/>
                    <a:cs typeface="Times New Roman" charset="0"/>
                  </a:rPr>
                  <a:t>进水</a:t>
                </a:r>
                <a:r>
                  <a:rPr lang="en-US" altLang="zh-CN">
                    <a:latin typeface="Times New Roman" charset="0"/>
                    <a:ea typeface="仿宋_GB2312" panose="02010609030101010101" pitchFamily="3" charset="-122"/>
                    <a:cs typeface="Times New Roman" charset="0"/>
                  </a:rPr>
                  <a:t>COD</a:t>
                </a:r>
                <a:r>
                  <a:rPr lang="en-US" altLang="zh-CN" baseline="-25000">
                    <a:latin typeface="Times New Roman" charset="0"/>
                    <a:ea typeface="仿宋_GB2312" panose="02010609030101010101" pitchFamily="3" charset="-122"/>
                    <a:cs typeface="Times New Roman" charset="0"/>
                  </a:rPr>
                  <a:t>Cr</a:t>
                </a:r>
                <a:r>
                  <a:rPr lang="zh-CN" altLang="en-US">
                    <a:latin typeface="Times New Roman" charset="0"/>
                    <a:ea typeface="仿宋_GB2312" panose="02010609030101010101" pitchFamily="3" charset="-122"/>
                    <a:cs typeface="Times New Roman" charset="0"/>
                  </a:rPr>
                  <a:t>浓度（</a:t>
                </a:r>
                <a:r>
                  <a:rPr lang="en-US" altLang="zh-CN">
                    <a:latin typeface="Times New Roman" charset="0"/>
                    <a:ea typeface="仿宋_GB2312" panose="02010609030101010101" pitchFamily="3" charset="-122"/>
                    <a:cs typeface="Times New Roman" charset="0"/>
                  </a:rPr>
                  <a:t>mg/L</a:t>
                </a:r>
                <a:r>
                  <a:rPr lang="zh-CN" altLang="en-US">
                    <a:latin typeface="Times New Roman" charset="0"/>
                    <a:ea typeface="仿宋_GB2312" panose="02010609030101010101" pitchFamily="3" charset="-122"/>
                    <a:cs typeface="Times New Roman" charset="0"/>
                  </a:rPr>
                  <a:t>）</a:t>
                </a:r>
                <a:endParaRPr lang="zh-CN" altLang="en-US">
                  <a:latin typeface="Times New Roman" charset="0"/>
                  <a:ea typeface="仿宋_GB2312" panose="02010609030101010101" pitchFamily="3" charset="-122"/>
                  <a:cs typeface="Times New Roman" charset="0"/>
                </a:endParaRPr>
              </a:p>
            </c:rich>
          </c:tx>
          <c:layout/>
          <c:overlay val="false"/>
          <c:spPr>
            <a:noFill/>
            <a:ln>
              <a:noFill/>
            </a:ln>
            <a:effectLst/>
          </c:spPr>
        </c:title>
        <c:numFmt formatCode="0.0_ " sourceLinked="tru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true"/>
          <a:lstStyle/>
          <a:p>
            <a:pPr algn="ctr">
              <a:defRPr lang="zh-CN" altLang="en-US" sz="900" b="0" i="0" u="none" strike="noStrike" kern="1200" baseline="0">
                <a:solidFill>
                  <a:schemeClr val="tx1">
                    <a:lumMod val="65000"/>
                    <a:lumOff val="35000"/>
                  </a:schemeClr>
                </a:solidFill>
                <a:latin typeface="Times New Roman" charset="0"/>
                <a:ea typeface="+mn-ea"/>
                <a:cs typeface="Times New Roman" charset="0"/>
              </a:defRPr>
            </a:pPr>
          </a:p>
        </c:txPr>
        <c:crossAx val="1891235952"/>
        <c:crosses val="autoZero"/>
        <c:crossBetween val="midCat"/>
        <c:majorUnit val="70"/>
      </c:valAx>
      <c:valAx>
        <c:axId val="1891236496"/>
        <c:scaling>
          <c:orientation val="minMax"/>
        </c:scaling>
        <c:delete val="true"/>
        <c:axPos val="b"/>
        <c:numFmt formatCode="yyyy&quot;年&quot;m&quot;月&quot;;@" sourceLinked="true"/>
        <c:majorTickMark val="out"/>
        <c:minorTickMark val="none"/>
        <c:tickLblPos val="nextTo"/>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891246832"/>
        <c:crosses val="autoZero"/>
        <c:crossBetween val="midCat"/>
      </c:valAx>
      <c:valAx>
        <c:axId val="1891246832"/>
        <c:scaling>
          <c:orientation val="minMax"/>
          <c:max val="150"/>
          <c:min val="0"/>
        </c:scaling>
        <c:delete val="false"/>
        <c:axPos val="r"/>
        <c:title>
          <c:tx>
            <c:rich>
              <a:bodyPr rot="-5400000" spcFirstLastPara="1" vertOverflow="ellipsis" vert="horz" wrap="square" anchor="ctr" anchorCtr="true"/>
              <a:lstStyle/>
              <a:p>
                <a:pPr>
                  <a:defRPr lang="zh-CN" sz="1000" b="0" i="0" u="none" strike="noStrike" kern="1200" baseline="0">
                    <a:solidFill>
                      <a:schemeClr val="tx1">
                        <a:lumMod val="65000"/>
                        <a:lumOff val="35000"/>
                      </a:schemeClr>
                    </a:solidFill>
                    <a:latin typeface="+mn-lt"/>
                    <a:ea typeface="+mn-ea"/>
                    <a:cs typeface="+mn-cs"/>
                  </a:defRPr>
                </a:pPr>
                <a:r>
                  <a:rPr lang="zh-CN" altLang="en-US">
                    <a:latin typeface="Times New Roman" charset="0"/>
                    <a:ea typeface="仿宋_GB2312" panose="02010609030101010101" pitchFamily="3" charset="-122"/>
                    <a:cs typeface="Times New Roman" charset="0"/>
                  </a:rPr>
                  <a:t>出水</a:t>
                </a:r>
                <a:r>
                  <a:rPr lang="en-US" altLang="zh-CN">
                    <a:latin typeface="Times New Roman" charset="0"/>
                    <a:ea typeface="仿宋_GB2312" panose="02010609030101010101" pitchFamily="3" charset="-122"/>
                    <a:cs typeface="Times New Roman" charset="0"/>
                  </a:rPr>
                  <a:t>COD</a:t>
                </a:r>
                <a:r>
                  <a:rPr lang="en-US" altLang="zh-CN" baseline="-25000">
                    <a:latin typeface="Times New Roman" charset="0"/>
                    <a:ea typeface="仿宋_GB2312" panose="02010609030101010101" pitchFamily="3" charset="-122"/>
                    <a:cs typeface="Times New Roman" charset="0"/>
                  </a:rPr>
                  <a:t>Cr</a:t>
                </a:r>
                <a:r>
                  <a:rPr lang="zh-CN" altLang="en-US">
                    <a:latin typeface="Times New Roman" charset="0"/>
                    <a:ea typeface="仿宋_GB2312" panose="02010609030101010101" pitchFamily="3" charset="-122"/>
                    <a:cs typeface="Times New Roman" charset="0"/>
                  </a:rPr>
                  <a:t>浓度（</a:t>
                </a:r>
                <a:r>
                  <a:rPr lang="en-US" altLang="zh-CN">
                    <a:latin typeface="Times New Roman" charset="0"/>
                    <a:ea typeface="仿宋_GB2312" panose="02010609030101010101" pitchFamily="3" charset="-122"/>
                    <a:cs typeface="Times New Roman" charset="0"/>
                  </a:rPr>
                  <a:t>mg/L</a:t>
                </a:r>
                <a:r>
                  <a:rPr lang="zh-CN" altLang="en-US">
                    <a:latin typeface="Times New Roman" charset="0"/>
                    <a:ea typeface="仿宋_GB2312" panose="02010609030101010101" pitchFamily="3" charset="-122"/>
                    <a:cs typeface="Times New Roman" charset="0"/>
                  </a:rPr>
                  <a:t>）</a:t>
                </a:r>
                <a:endParaRPr lang="zh-CN" altLang="en-US">
                  <a:latin typeface="Times New Roman" charset="0"/>
                  <a:ea typeface="仿宋_GB2312" panose="02010609030101010101" pitchFamily="3" charset="-122"/>
                  <a:cs typeface="Times New Roman" charset="0"/>
                </a:endParaRPr>
              </a:p>
            </c:rich>
          </c:tx>
          <c:layout/>
          <c:overlay val="false"/>
          <c:spPr>
            <a:noFill/>
            <a:ln>
              <a:noFill/>
            </a:ln>
            <a:effectLst/>
          </c:spPr>
        </c:title>
        <c:numFmt formatCode="0.0_ " sourceLinked="true"/>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Times New Roman" charset="0"/>
                <a:ea typeface="+mn-ea"/>
                <a:cs typeface="Times New Roman" charset="0"/>
              </a:defRPr>
            </a:pPr>
          </a:p>
        </c:txPr>
        <c:crossAx val="1891236496"/>
        <c:crosses val="max"/>
        <c:crossBetween val="midCat"/>
        <c:majorUnit val="30"/>
      </c:valAx>
      <c:spPr>
        <a:noFill/>
        <a:ln>
          <a:noFill/>
        </a:ln>
        <a:effectLst/>
      </c:spPr>
    </c:plotArea>
    <c:legend>
      <c:legendPos val="b"/>
      <c:layout/>
      <c:overlay val="false"/>
      <c:spPr>
        <a:noFill/>
        <a:ln>
          <a:noFill/>
        </a:ln>
        <a:effectLst/>
      </c:spPr>
      <c:txPr>
        <a:bodyPr rot="0" spcFirstLastPara="1" vertOverflow="ellipsis" vert="horz" wrap="square" anchor="ctr" anchorCtr="true"/>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lgn="ctr">
        <a:defRPr lang="zh-CN"/>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true"/>
          <a:lstStyle/>
          <a:p>
            <a:pPr>
              <a:defRPr lang="zh-CN" sz="1400" b="0" i="0" u="none" strike="noStrike" kern="1200" spc="0" baseline="0">
                <a:solidFill>
                  <a:schemeClr val="tx1">
                    <a:lumMod val="65000"/>
                    <a:lumOff val="35000"/>
                  </a:schemeClr>
                </a:solidFill>
                <a:latin typeface="Times New Roman" charset="0"/>
                <a:ea typeface="+mn-ea"/>
                <a:cs typeface="Times New Roman" charset="0"/>
              </a:defRPr>
            </a:pPr>
            <a:r>
              <a:rPr lang="en-US" altLang="zh-CN">
                <a:latin typeface="Times New Roman" charset="0"/>
                <a:cs typeface="Times New Roman" charset="0"/>
              </a:rPr>
              <a:t>NH</a:t>
            </a:r>
            <a:r>
              <a:rPr lang="en-US" altLang="zh-CN" baseline="-25000">
                <a:latin typeface="Times New Roman" charset="0"/>
                <a:cs typeface="Times New Roman" charset="0"/>
              </a:rPr>
              <a:t>3</a:t>
            </a:r>
            <a:r>
              <a:rPr lang="en-US" altLang="zh-CN">
                <a:latin typeface="Times New Roman" charset="0"/>
                <a:cs typeface="Times New Roman" charset="0"/>
              </a:rPr>
              <a:t>-N</a:t>
            </a:r>
            <a:endParaRPr lang="zh-CN" altLang="en-US" baseline="-25000">
              <a:latin typeface="Times New Roman" charset="0"/>
              <a:cs typeface="Times New Roman" charset="0"/>
            </a:endParaRPr>
          </a:p>
        </c:rich>
      </c:tx>
      <c:layout/>
      <c:overlay val="false"/>
      <c:spPr>
        <a:noFill/>
        <a:ln>
          <a:noFill/>
        </a:ln>
        <a:effectLst/>
      </c:spPr>
    </c:title>
    <c:autoTitleDeleted val="false"/>
    <c:plotArea>
      <c:layout/>
      <c:scatterChart>
        <c:scatterStyle val="lineMarker"/>
        <c:varyColors val="false"/>
        <c:ser>
          <c:idx val="0"/>
          <c:order val="0"/>
          <c:tx>
            <c:strRef>
              <c:f>进水浓度</c:f>
              <c:strCache>
                <c:ptCount val="1"/>
                <c:pt idx="0">
                  <c:v>进水浓度</c:v>
                </c:pt>
              </c:strCache>
            </c:strRef>
          </c:tx>
          <c:spPr>
            <a:ln w="0" cap="rnd">
              <a:solidFill>
                <a:srgbClr val="00B0F0"/>
              </a:solidFill>
              <a:round/>
            </a:ln>
            <a:effectLst/>
          </c:spPr>
          <c:marker>
            <c:symbol val="triangle"/>
            <c:size val="7"/>
            <c:spPr>
              <a:solidFill>
                <a:srgbClr val="00B0F0"/>
              </a:solidFill>
              <a:ln w="0">
                <a:solidFill>
                  <a:srgbClr val="00B0F0"/>
                </a:solidFill>
              </a:ln>
              <a:effectLst/>
            </c:spPr>
          </c:marker>
          <c:dLbls>
            <c:delete val="true"/>
          </c:dLbls>
          <c:xVal>
            <c:numRef>
              <c:f>现状描述月均进出水!$A$3:$A$38</c:f>
              <c:numCache>
                <c:formatCode>yyyy"年"m"月";@</c:formatCode>
                <c:ptCount val="36"/>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pt idx="12">
                  <c:v>44927</c:v>
                </c:pt>
                <c:pt idx="13">
                  <c:v>44958</c:v>
                </c:pt>
                <c:pt idx="14">
                  <c:v>44986</c:v>
                </c:pt>
                <c:pt idx="15">
                  <c:v>45017</c:v>
                </c:pt>
                <c:pt idx="16">
                  <c:v>45047</c:v>
                </c:pt>
                <c:pt idx="17">
                  <c:v>45078</c:v>
                </c:pt>
                <c:pt idx="18">
                  <c:v>45108</c:v>
                </c:pt>
                <c:pt idx="19">
                  <c:v>45139</c:v>
                </c:pt>
                <c:pt idx="20">
                  <c:v>45170</c:v>
                </c:pt>
                <c:pt idx="21">
                  <c:v>45200</c:v>
                </c:pt>
                <c:pt idx="22">
                  <c:v>45231</c:v>
                </c:pt>
                <c:pt idx="23">
                  <c:v>45261</c:v>
                </c:pt>
                <c:pt idx="24">
                  <c:v>45292</c:v>
                </c:pt>
                <c:pt idx="25">
                  <c:v>45323</c:v>
                </c:pt>
                <c:pt idx="26">
                  <c:v>45352</c:v>
                </c:pt>
                <c:pt idx="27">
                  <c:v>45383</c:v>
                </c:pt>
                <c:pt idx="28">
                  <c:v>45413</c:v>
                </c:pt>
                <c:pt idx="29">
                  <c:v>45444</c:v>
                </c:pt>
                <c:pt idx="30">
                  <c:v>45474</c:v>
                </c:pt>
                <c:pt idx="31">
                  <c:v>45505</c:v>
                </c:pt>
                <c:pt idx="32">
                  <c:v>45536</c:v>
                </c:pt>
                <c:pt idx="33">
                  <c:v>45566</c:v>
                </c:pt>
                <c:pt idx="34">
                  <c:v>45597</c:v>
                </c:pt>
                <c:pt idx="35">
                  <c:v>45627</c:v>
                </c:pt>
              </c:numCache>
            </c:numRef>
          </c:xVal>
          <c:yVal>
            <c:numRef>
              <c:f>现状描述月均进出水!$G$3:$G$38</c:f>
              <c:numCache>
                <c:formatCode>0.0_ </c:formatCode>
                <c:ptCount val="36"/>
                <c:pt idx="0">
                  <c:v>28.4029032258065</c:v>
                </c:pt>
                <c:pt idx="1">
                  <c:v>26.9185714285714</c:v>
                </c:pt>
                <c:pt idx="2">
                  <c:v>28.9390322580645</c:v>
                </c:pt>
                <c:pt idx="3">
                  <c:v>32.1333333333333</c:v>
                </c:pt>
                <c:pt idx="4">
                  <c:v>31.9909677419355</c:v>
                </c:pt>
                <c:pt idx="5">
                  <c:v>30.5963333333333</c:v>
                </c:pt>
                <c:pt idx="6">
                  <c:v>22.1416129032258</c:v>
                </c:pt>
                <c:pt idx="7">
                  <c:v>23.5335483870968</c:v>
                </c:pt>
                <c:pt idx="8">
                  <c:v>22.9043333333333</c:v>
                </c:pt>
                <c:pt idx="9">
                  <c:v>22.3458064516129</c:v>
                </c:pt>
                <c:pt idx="10">
                  <c:v>25.181</c:v>
                </c:pt>
                <c:pt idx="11">
                  <c:v>23.9438709677419</c:v>
                </c:pt>
                <c:pt idx="12">
                  <c:v>23.6716129032258</c:v>
                </c:pt>
                <c:pt idx="13">
                  <c:v>25.4339285714286</c:v>
                </c:pt>
                <c:pt idx="14">
                  <c:v>29.1296774193548</c:v>
                </c:pt>
                <c:pt idx="15">
                  <c:v>26.2153333333333</c:v>
                </c:pt>
                <c:pt idx="16">
                  <c:v>25.5570967741935</c:v>
                </c:pt>
                <c:pt idx="17">
                  <c:v>23.5356666666667</c:v>
                </c:pt>
                <c:pt idx="18">
                  <c:v>22.8954838709677</c:v>
                </c:pt>
                <c:pt idx="19">
                  <c:v>22.6707043010753</c:v>
                </c:pt>
                <c:pt idx="20">
                  <c:v>20.5023333333333</c:v>
                </c:pt>
                <c:pt idx="21">
                  <c:v>26.3877419354839</c:v>
                </c:pt>
                <c:pt idx="22">
                  <c:v>25.1846666666667</c:v>
                </c:pt>
                <c:pt idx="23">
                  <c:v>25.4977419354839</c:v>
                </c:pt>
                <c:pt idx="24" c:formatCode="0.00_ ">
                  <c:v>27.0751612903226</c:v>
                </c:pt>
                <c:pt idx="25" c:formatCode="0.00_ ">
                  <c:v>25.4620689655172</c:v>
                </c:pt>
                <c:pt idx="26" c:formatCode="0.00_ ">
                  <c:v>29.4261290322581</c:v>
                </c:pt>
                <c:pt idx="27" c:formatCode="0.00_ ">
                  <c:v>28.5176666666667</c:v>
                </c:pt>
                <c:pt idx="28" c:formatCode="0.00_ ">
                  <c:v>28.9706451612903</c:v>
                </c:pt>
                <c:pt idx="29" c:formatCode="0.00_ ">
                  <c:v>29.6246666666667</c:v>
                </c:pt>
                <c:pt idx="30" c:formatCode="0.00_ ">
                  <c:v>19.3177419354839</c:v>
                </c:pt>
                <c:pt idx="31" c:formatCode="0.00_ ">
                  <c:v>23.6712903225806</c:v>
                </c:pt>
                <c:pt idx="32" c:formatCode="0.00_ ">
                  <c:v>25.2913333333333</c:v>
                </c:pt>
                <c:pt idx="33" c:formatCode="0.00_ ">
                  <c:v>26.7622580645161</c:v>
                </c:pt>
                <c:pt idx="34" c:formatCode="0.00_ ">
                  <c:v>28.12</c:v>
                </c:pt>
                <c:pt idx="35" c:formatCode="0.00_ ">
                  <c:v>25.6877419354839</c:v>
                </c:pt>
              </c:numCache>
            </c:numRef>
          </c:yVal>
          <c:smooth val="false"/>
        </c:ser>
        <c:dLbls>
          <c:showLegendKey val="false"/>
          <c:showVal val="false"/>
          <c:showCatName val="false"/>
          <c:showSerName val="false"/>
          <c:showPercent val="false"/>
          <c:showBubbleSize val="false"/>
        </c:dLbls>
        <c:axId val="1971119312"/>
        <c:axId val="1971124208"/>
      </c:scatterChart>
      <c:scatterChart>
        <c:scatterStyle val="lineMarker"/>
        <c:varyColors val="false"/>
        <c:ser>
          <c:idx val="1"/>
          <c:order val="1"/>
          <c:tx>
            <c:strRef>
              <c:f>出水浓度</c:f>
              <c:strCache>
                <c:ptCount val="1"/>
                <c:pt idx="0">
                  <c:v>出水浓度</c:v>
                </c:pt>
              </c:strCache>
            </c:strRef>
          </c:tx>
          <c:spPr>
            <a:ln w="0" cap="rnd">
              <a:solidFill>
                <a:srgbClr val="00B0F0"/>
              </a:solidFill>
              <a:round/>
            </a:ln>
            <a:effectLst/>
          </c:spPr>
          <c:marker>
            <c:symbol val="x"/>
            <c:size val="7"/>
            <c:spPr>
              <a:noFill/>
              <a:ln w="25400">
                <a:solidFill>
                  <a:srgbClr val="00B0F0"/>
                </a:solidFill>
              </a:ln>
              <a:effectLst/>
            </c:spPr>
          </c:marker>
          <c:dLbls>
            <c:delete val="true"/>
          </c:dLbls>
          <c:xVal>
            <c:numRef>
              <c:f>现状描述月均进出水!$A$3:$A$38</c:f>
              <c:numCache>
                <c:formatCode>yyyy"年"m"月";@</c:formatCode>
                <c:ptCount val="36"/>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pt idx="12">
                  <c:v>44927</c:v>
                </c:pt>
                <c:pt idx="13">
                  <c:v>44958</c:v>
                </c:pt>
                <c:pt idx="14">
                  <c:v>44986</c:v>
                </c:pt>
                <c:pt idx="15">
                  <c:v>45017</c:v>
                </c:pt>
                <c:pt idx="16">
                  <c:v>45047</c:v>
                </c:pt>
                <c:pt idx="17">
                  <c:v>45078</c:v>
                </c:pt>
                <c:pt idx="18">
                  <c:v>45108</c:v>
                </c:pt>
                <c:pt idx="19">
                  <c:v>45139</c:v>
                </c:pt>
                <c:pt idx="20">
                  <c:v>45170</c:v>
                </c:pt>
                <c:pt idx="21">
                  <c:v>45200</c:v>
                </c:pt>
                <c:pt idx="22">
                  <c:v>45231</c:v>
                </c:pt>
                <c:pt idx="23">
                  <c:v>45261</c:v>
                </c:pt>
                <c:pt idx="24">
                  <c:v>45292</c:v>
                </c:pt>
                <c:pt idx="25">
                  <c:v>45323</c:v>
                </c:pt>
                <c:pt idx="26">
                  <c:v>45352</c:v>
                </c:pt>
                <c:pt idx="27">
                  <c:v>45383</c:v>
                </c:pt>
                <c:pt idx="28">
                  <c:v>45413</c:v>
                </c:pt>
                <c:pt idx="29">
                  <c:v>45444</c:v>
                </c:pt>
                <c:pt idx="30">
                  <c:v>45474</c:v>
                </c:pt>
                <c:pt idx="31">
                  <c:v>45505</c:v>
                </c:pt>
                <c:pt idx="32">
                  <c:v>45536</c:v>
                </c:pt>
                <c:pt idx="33">
                  <c:v>45566</c:v>
                </c:pt>
                <c:pt idx="34">
                  <c:v>45597</c:v>
                </c:pt>
                <c:pt idx="35">
                  <c:v>45627</c:v>
                </c:pt>
              </c:numCache>
            </c:numRef>
          </c:xVal>
          <c:yVal>
            <c:numRef>
              <c:f>现状描述月均进出水!$M$3:$M$38</c:f>
              <c:numCache>
                <c:formatCode>0.0_ </c:formatCode>
                <c:ptCount val="36"/>
                <c:pt idx="0">
                  <c:v>0.872054624970914</c:v>
                </c:pt>
                <c:pt idx="1">
                  <c:v>0.624179096162927</c:v>
                </c:pt>
                <c:pt idx="2">
                  <c:v>1.20562965754346</c:v>
                </c:pt>
                <c:pt idx="3">
                  <c:v>1.10604284886602</c:v>
                </c:pt>
                <c:pt idx="4">
                  <c:v>0.878753018196675</c:v>
                </c:pt>
                <c:pt idx="5">
                  <c:v>0.560910125937409</c:v>
                </c:pt>
                <c:pt idx="6">
                  <c:v>0.524595584472267</c:v>
                </c:pt>
                <c:pt idx="7">
                  <c:v>0.476444607748549</c:v>
                </c:pt>
                <c:pt idx="8">
                  <c:v>0.782107768793391</c:v>
                </c:pt>
                <c:pt idx="9">
                  <c:v>0.61699829190421</c:v>
                </c:pt>
                <c:pt idx="10">
                  <c:v>0.384547754427275</c:v>
                </c:pt>
                <c:pt idx="11">
                  <c:v>0.279870520015913</c:v>
                </c:pt>
                <c:pt idx="12">
                  <c:v>0.767263296457937</c:v>
                </c:pt>
                <c:pt idx="13">
                  <c:v>0.775936419141211</c:v>
                </c:pt>
                <c:pt idx="14">
                  <c:v>1.09210155772504</c:v>
                </c:pt>
                <c:pt idx="15">
                  <c:v>0.398954470708075</c:v>
                </c:pt>
                <c:pt idx="16">
                  <c:v>0.308814023174542</c:v>
                </c:pt>
                <c:pt idx="17">
                  <c:v>0.266174145067938</c:v>
                </c:pt>
                <c:pt idx="18">
                  <c:v>0.255591795493882</c:v>
                </c:pt>
                <c:pt idx="19">
                  <c:v>0.84179462517617</c:v>
                </c:pt>
                <c:pt idx="20">
                  <c:v>0.499383053742031</c:v>
                </c:pt>
                <c:pt idx="21">
                  <c:v>0.203811159637207</c:v>
                </c:pt>
                <c:pt idx="22">
                  <c:v>0.195178994059917</c:v>
                </c:pt>
                <c:pt idx="23">
                  <c:v>0.463221910033805</c:v>
                </c:pt>
                <c:pt idx="24">
                  <c:v>0.831762343679737</c:v>
                </c:pt>
                <c:pt idx="25">
                  <c:v>0.182121675928192</c:v>
                </c:pt>
                <c:pt idx="26">
                  <c:v>0.360691738078274</c:v>
                </c:pt>
                <c:pt idx="27">
                  <c:v>0.107449786342778</c:v>
                </c:pt>
                <c:pt idx="28">
                  <c:v>0.0667741935483871</c:v>
                </c:pt>
                <c:pt idx="29">
                  <c:v>0.072557281631065</c:v>
                </c:pt>
                <c:pt idx="30">
                  <c:v>0.0818600081964836</c:v>
                </c:pt>
                <c:pt idx="31">
                  <c:v>0.0805829276628214</c:v>
                </c:pt>
                <c:pt idx="32">
                  <c:v>0.105756537534163</c:v>
                </c:pt>
                <c:pt idx="33">
                  <c:v>0.141379519005252</c:v>
                </c:pt>
                <c:pt idx="34">
                  <c:v>0.159737564573018</c:v>
                </c:pt>
                <c:pt idx="35">
                  <c:v>0.273361034746388</c:v>
                </c:pt>
              </c:numCache>
            </c:numRef>
          </c:yVal>
          <c:smooth val="false"/>
        </c:ser>
        <c:dLbls>
          <c:showLegendKey val="false"/>
          <c:showVal val="false"/>
          <c:showCatName val="false"/>
          <c:showSerName val="false"/>
          <c:showPercent val="false"/>
          <c:showBubbleSize val="false"/>
        </c:dLbls>
        <c:axId val="1971119856"/>
        <c:axId val="1971132912"/>
      </c:scatterChart>
      <c:valAx>
        <c:axId val="1971119312"/>
        <c:scaling>
          <c:orientation val="minMax"/>
          <c:max val="45628"/>
          <c:min val="44562"/>
        </c:scaling>
        <c:delete val="false"/>
        <c:axPos val="b"/>
        <c:majorGridlines>
          <c:spPr>
            <a:ln w="9525" cap="flat" cmpd="sng" algn="ctr">
              <a:solidFill>
                <a:schemeClr val="tx1">
                  <a:lumMod val="15000"/>
                  <a:lumOff val="85000"/>
                </a:schemeClr>
              </a:solidFill>
              <a:round/>
            </a:ln>
            <a:effectLst/>
          </c:spPr>
        </c:majorGridlines>
        <c:numFmt formatCode="yyyy&quot;年&quot;m&quot;月&quot;;@" sourceLinked="tru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true"/>
          <a:lstStyle/>
          <a:p>
            <a:pPr algn="ctr">
              <a:defRPr lang="zh-CN" altLang="en-US" sz="900" b="0" i="0" u="none" strike="noStrike" kern="1200" baseline="0">
                <a:solidFill>
                  <a:schemeClr val="tx1">
                    <a:lumMod val="65000"/>
                    <a:lumOff val="35000"/>
                  </a:schemeClr>
                </a:solidFill>
                <a:latin typeface="Times New Roman" charset="0"/>
                <a:ea typeface="仿宋_GB2312" panose="02010609030101010101" pitchFamily="3" charset="-122"/>
                <a:cs typeface="Times New Roman" charset="0"/>
              </a:defRPr>
            </a:pPr>
          </a:p>
        </c:txPr>
        <c:crossAx val="1971124208"/>
        <c:crosses val="autoZero"/>
        <c:crossBetween val="midCat"/>
        <c:majorUnit val="213"/>
      </c:valAx>
      <c:valAx>
        <c:axId val="1971124208"/>
        <c:scaling>
          <c:orientation val="minMax"/>
          <c:max val="35"/>
          <c:min val="0"/>
        </c:scaling>
        <c:delete val="false"/>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true"/>
              <a:lstStyle/>
              <a:p>
                <a:pPr>
                  <a:defRPr lang="zh-CN" sz="10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r>
                  <a:rPr lang="zh-CN" altLang="en-US">
                    <a:latin typeface="Times New Roman" charset="0"/>
                    <a:ea typeface="仿宋_GB2312" panose="02010609030101010101" pitchFamily="3" charset="-122"/>
                    <a:cs typeface="Times New Roman" charset="0"/>
                  </a:rPr>
                  <a:t>进水</a:t>
                </a:r>
                <a:r>
                  <a:rPr lang="en-US" altLang="zh-CN">
                    <a:latin typeface="Times New Roman" charset="0"/>
                    <a:ea typeface="仿宋_GB2312" panose="02010609030101010101" pitchFamily="3" charset="-122"/>
                    <a:cs typeface="Times New Roman" charset="0"/>
                  </a:rPr>
                  <a:t>NH</a:t>
                </a:r>
                <a:r>
                  <a:rPr lang="en-US" altLang="zh-CN" baseline="-25000">
                    <a:latin typeface="Times New Roman" charset="0"/>
                    <a:ea typeface="仿宋_GB2312" panose="02010609030101010101" pitchFamily="3" charset="-122"/>
                    <a:cs typeface="Times New Roman" charset="0"/>
                  </a:rPr>
                  <a:t>3</a:t>
                </a:r>
                <a:r>
                  <a:rPr lang="en-US" altLang="zh-CN">
                    <a:latin typeface="Times New Roman" charset="0"/>
                    <a:ea typeface="仿宋_GB2312" panose="02010609030101010101" pitchFamily="3" charset="-122"/>
                    <a:cs typeface="Times New Roman" charset="0"/>
                  </a:rPr>
                  <a:t>-N</a:t>
                </a:r>
                <a:r>
                  <a:rPr lang="zh-CN" altLang="en-US">
                    <a:latin typeface="Times New Roman" charset="0"/>
                    <a:ea typeface="仿宋_GB2312" panose="02010609030101010101" pitchFamily="3" charset="-122"/>
                    <a:cs typeface="Times New Roman" charset="0"/>
                  </a:rPr>
                  <a:t>浓度（</a:t>
                </a:r>
                <a:r>
                  <a:rPr lang="en-US" altLang="zh-CN">
                    <a:latin typeface="Times New Roman" charset="0"/>
                    <a:ea typeface="仿宋_GB2312" panose="02010609030101010101" pitchFamily="3" charset="-122"/>
                    <a:cs typeface="Times New Roman" charset="0"/>
                  </a:rPr>
                  <a:t>mg/L</a:t>
                </a:r>
                <a:r>
                  <a:rPr lang="zh-CN" altLang="en-US">
                    <a:latin typeface="Times New Roman" charset="0"/>
                    <a:ea typeface="仿宋_GB2312" panose="02010609030101010101" pitchFamily="3" charset="-122"/>
                    <a:cs typeface="Times New Roman" charset="0"/>
                  </a:rPr>
                  <a:t>）</a:t>
                </a:r>
                <a:endParaRPr lang="zh-CN" altLang="en-US">
                  <a:latin typeface="Times New Roman" charset="0"/>
                  <a:ea typeface="仿宋_GB2312" panose="02010609030101010101" pitchFamily="3" charset="-122"/>
                  <a:cs typeface="Times New Roman" charset="0"/>
                </a:endParaRPr>
              </a:p>
            </c:rich>
          </c:tx>
          <c:layout/>
          <c:overlay val="false"/>
          <c:spPr>
            <a:noFill/>
            <a:ln>
              <a:noFill/>
            </a:ln>
            <a:effectLst/>
          </c:spPr>
        </c:title>
        <c:numFmt formatCode="0.0_ " sourceLinked="tru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true"/>
          <a:lstStyle/>
          <a:p>
            <a:pPr algn="ctr">
              <a:defRPr lang="zh-CN" altLang="en-US" sz="900" b="0" i="0" u="none" strike="noStrike" kern="1200" baseline="0">
                <a:solidFill>
                  <a:schemeClr val="tx1">
                    <a:lumMod val="65000"/>
                    <a:lumOff val="35000"/>
                  </a:schemeClr>
                </a:solidFill>
                <a:latin typeface="Times New Roman" charset="0"/>
                <a:ea typeface="+mn-ea"/>
                <a:cs typeface="Times New Roman" charset="0"/>
              </a:defRPr>
            </a:pPr>
          </a:p>
        </c:txPr>
        <c:crossAx val="1971119312"/>
        <c:crosses val="autoZero"/>
        <c:crossBetween val="midCat"/>
        <c:majorUnit val="7"/>
      </c:valAx>
      <c:valAx>
        <c:axId val="1971119856"/>
        <c:scaling>
          <c:orientation val="minMax"/>
        </c:scaling>
        <c:delete val="true"/>
        <c:axPos val="b"/>
        <c:numFmt formatCode="yyyy&quot;年&quot;m&quot;月&quot;;@" sourceLinked="true"/>
        <c:majorTickMark val="out"/>
        <c:minorTickMark val="none"/>
        <c:tickLblPos val="nextTo"/>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971132912"/>
        <c:crosses val="autoZero"/>
        <c:crossBetween val="midCat"/>
      </c:valAx>
      <c:valAx>
        <c:axId val="1971132912"/>
        <c:scaling>
          <c:orientation val="minMax"/>
          <c:max val="3"/>
        </c:scaling>
        <c:delete val="false"/>
        <c:axPos val="r"/>
        <c:title>
          <c:tx>
            <c:rich>
              <a:bodyPr rot="-5400000" spcFirstLastPara="1" vertOverflow="ellipsis" vert="horz" wrap="square" anchor="ctr" anchorCtr="true"/>
              <a:lstStyle/>
              <a:p>
                <a:pPr>
                  <a:defRPr lang="zh-CN" sz="10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r>
                  <a:rPr lang="zh-CN" altLang="en-US">
                    <a:latin typeface="Times New Roman" charset="0"/>
                    <a:ea typeface="仿宋_GB2312" panose="02010609030101010101" pitchFamily="3" charset="-122"/>
                    <a:cs typeface="Times New Roman" charset="0"/>
                  </a:rPr>
                  <a:t>出水</a:t>
                </a:r>
                <a:r>
                  <a:rPr lang="en-US" altLang="zh-CN">
                    <a:latin typeface="Times New Roman" charset="0"/>
                    <a:ea typeface="仿宋_GB2312" panose="02010609030101010101" pitchFamily="3" charset="-122"/>
                    <a:cs typeface="Times New Roman" charset="0"/>
                  </a:rPr>
                  <a:t>NH</a:t>
                </a:r>
                <a:r>
                  <a:rPr lang="en-US" altLang="zh-CN" baseline="-25000">
                    <a:latin typeface="Times New Roman" charset="0"/>
                    <a:ea typeface="仿宋_GB2312" panose="02010609030101010101" pitchFamily="3" charset="-122"/>
                    <a:cs typeface="Times New Roman" charset="0"/>
                  </a:rPr>
                  <a:t>3</a:t>
                </a:r>
                <a:r>
                  <a:rPr lang="en-US" altLang="zh-CN">
                    <a:latin typeface="Times New Roman" charset="0"/>
                    <a:ea typeface="仿宋_GB2312" panose="02010609030101010101" pitchFamily="3" charset="-122"/>
                    <a:cs typeface="Times New Roman" charset="0"/>
                  </a:rPr>
                  <a:t>-N</a:t>
                </a:r>
                <a:r>
                  <a:rPr lang="zh-CN" altLang="en-US">
                    <a:latin typeface="Times New Roman" charset="0"/>
                    <a:ea typeface="仿宋_GB2312" panose="02010609030101010101" pitchFamily="3" charset="-122"/>
                    <a:cs typeface="Times New Roman" charset="0"/>
                  </a:rPr>
                  <a:t>浓度（</a:t>
                </a:r>
                <a:r>
                  <a:rPr lang="en-US" altLang="zh-CN">
                    <a:latin typeface="Times New Roman" charset="0"/>
                    <a:ea typeface="仿宋_GB2312" panose="02010609030101010101" pitchFamily="3" charset="-122"/>
                    <a:cs typeface="Times New Roman" charset="0"/>
                  </a:rPr>
                  <a:t>mg/L</a:t>
                </a:r>
                <a:r>
                  <a:rPr lang="zh-CN" altLang="en-US">
                    <a:latin typeface="Times New Roman" charset="0"/>
                    <a:ea typeface="仿宋_GB2312" panose="02010609030101010101" pitchFamily="3" charset="-122"/>
                    <a:cs typeface="Times New Roman" charset="0"/>
                  </a:rPr>
                  <a:t>）</a:t>
                </a:r>
                <a:endParaRPr lang="zh-CN" altLang="en-US">
                  <a:latin typeface="Times New Roman" charset="0"/>
                  <a:ea typeface="仿宋_GB2312" panose="02010609030101010101" pitchFamily="3" charset="-122"/>
                  <a:cs typeface="Times New Roman" charset="0"/>
                </a:endParaRPr>
              </a:p>
            </c:rich>
          </c:tx>
          <c:layout/>
          <c:overlay val="false"/>
          <c:spPr>
            <a:noFill/>
            <a:ln>
              <a:noFill/>
            </a:ln>
            <a:effectLst/>
          </c:spPr>
        </c:title>
        <c:numFmt formatCode="0.0_ " sourceLinked="true"/>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Times New Roman" charset="0"/>
                <a:ea typeface="+mn-ea"/>
                <a:cs typeface="Times New Roman" charset="0"/>
              </a:defRPr>
            </a:pPr>
          </a:p>
        </c:txPr>
        <c:crossAx val="1971119856"/>
        <c:crosses val="max"/>
        <c:crossBetween val="midCat"/>
        <c:majorUnit val="0.6"/>
      </c:valAx>
      <c:spPr>
        <a:noFill/>
        <a:ln>
          <a:noFill/>
        </a:ln>
        <a:effectLst/>
      </c:spPr>
    </c:plotArea>
    <c:legend>
      <c:legendPos val="b"/>
      <c:layout/>
      <c:overlay val="false"/>
      <c:spPr>
        <a:noFill/>
        <a:ln>
          <a:noFill/>
        </a:ln>
        <a:effectLst/>
      </c:spPr>
      <c:txPr>
        <a:bodyPr rot="0" spcFirstLastPara="1" vertOverflow="ellipsis" vert="horz" wrap="square" anchor="ctr" anchorCtr="true"/>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lgn="ctr">
        <a:defRPr lang="zh-CN"/>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804</Words>
  <Characters>813</Characters>
  <Lines>50</Lines>
  <Paragraphs>32</Paragraphs>
  <TotalTime>58</TotalTime>
  <ScaleCrop>false</ScaleCrop>
  <LinksUpToDate>false</LinksUpToDate>
  <CharactersWithSpaces>1585</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2023-08-17T16:35:00Z</dcterms:created>
  <dc:creator>初审-刘乃藩</dc:creator>
  <cp:lastModifiedBy>user</cp:lastModifiedBy>
  <cp:lastPrinted>2023-08-17T18:00:00Z</cp:lastPrinted>
  <dcterms:modified xsi:type="dcterms:W3CDTF">2025-09-22T11:54:41Z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74F027E55FEE4E5FBE55C8500D4ADDB0_13</vt:lpwstr>
  </property>
  <property fmtid="{D5CDD505-2E9C-101B-9397-08002B2CF9AE}" pid="4" name="KSOTemplateDocerSaveRecord">
    <vt:lpwstr>eyJoZGlkIjoiMzI5MWJlNDZmMmU4OWQ3ZGJiM2Y5OTFkNjcxNTAzNDciLCJ1c2VySWQiOiIxMDg5NDk4MjkyIn0=</vt:lpwstr>
  </property>
</Properties>
</file>